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925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2"/>
        <w:gridCol w:w="8598"/>
        <w:gridCol w:w="438"/>
      </w:tblGrid>
      <w:tr w:rsidR="0094424E" w:rsidTr="008634BA">
        <w:trPr>
          <w:jc w:val="center"/>
        </w:trPr>
        <w:tc>
          <w:tcPr>
            <w:tcW w:w="222" w:type="dxa"/>
          </w:tcPr>
          <w:p w:rsidR="0094424E" w:rsidRPr="00DD05A8" w:rsidRDefault="0094424E" w:rsidP="008634BA">
            <w:pPr>
              <w:suppressLineNumbers/>
              <w:jc w:val="both"/>
              <w:rPr>
                <w:rFonts w:ascii="Arial" w:hAnsi="Arial"/>
                <w:b/>
                <w:bCs/>
                <w:sz w:val="26"/>
                <w:szCs w:val="26"/>
                <w:rtl/>
              </w:rPr>
            </w:pPr>
            <w:bookmarkStart w:id="0" w:name="_GoBack"/>
            <w:bookmarkEnd w:id="0"/>
            <w:r>
              <w:rPr>
                <w:rtl/>
              </w:rPr>
              <w:t xml:space="preserve"> </w:t>
            </w:r>
          </w:p>
        </w:tc>
        <w:tc>
          <w:tcPr>
            <w:tcW w:w="9036" w:type="dxa"/>
            <w:gridSpan w:val="2"/>
          </w:tcPr>
          <w:p w:rsidR="0094424E" w:rsidRDefault="008634BA" w:rsidP="00E9269D">
            <w:pPr>
              <w:suppressLineNumbers/>
              <w:rPr>
                <w:rFonts w:ascii="Arial" w:hAnsi="Arial"/>
                <w:b/>
                <w:bCs/>
                <w:sz w:val="26"/>
                <w:szCs w:val="26"/>
                <w:rtl/>
              </w:rPr>
            </w:pPr>
            <w:r>
              <w:rPr>
                <w:rFonts w:ascii="Arial" w:hAnsi="Arial" w:hint="cs"/>
                <w:b/>
                <w:bCs/>
                <w:sz w:val="26"/>
                <w:szCs w:val="26"/>
                <w:rtl/>
              </w:rPr>
              <w:t xml:space="preserve">בפני </w:t>
            </w:r>
            <w:r w:rsidR="000529D2"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sidR="000529D2">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sidR="000529D2">
                  <w:rPr>
                    <w:rFonts w:ascii="Arial" w:hAnsi="Arial"/>
                    <w:b/>
                    <w:bCs/>
                    <w:sz w:val="26"/>
                    <w:szCs w:val="26"/>
                    <w:rtl/>
                  </w:rPr>
                  <w:t>אריה נאמן</w:t>
                </w:r>
              </w:sdtContent>
            </w:sdt>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8634BA" w:rsidTr="00114F88">
              <w:trPr>
                <w:jc w:val="center"/>
              </w:trPr>
              <w:tc>
                <w:tcPr>
                  <w:tcW w:w="3249" w:type="dxa"/>
                </w:tcPr>
                <w:p w:rsidR="008634BA" w:rsidRDefault="008634BA" w:rsidP="008634BA">
                  <w:pPr>
                    <w:suppressLineNumbers/>
                    <w:rPr>
                      <w:rFonts w:ascii="Arial" w:hAnsi="Arial"/>
                      <w:b/>
                      <w:bCs/>
                      <w:sz w:val="26"/>
                      <w:szCs w:val="26"/>
                    </w:rPr>
                  </w:pPr>
                </w:p>
                <w:sdt>
                  <w:sdtPr>
                    <w:rPr>
                      <w:rtl/>
                    </w:rPr>
                    <w:alias w:val="1180"/>
                    <w:tag w:val="1180"/>
                    <w:id w:val="637458750"/>
                    <w:text w:multiLine="1"/>
                  </w:sdtPr>
                  <w:sdtEndPr/>
                  <w:sdtContent>
                    <w:p w:rsidR="008634BA" w:rsidRDefault="008634BA" w:rsidP="008634BA">
                      <w:pPr>
                        <w:suppressLineNumbers/>
                        <w:rPr>
                          <w:rFonts w:ascii="Arial" w:hAnsi="Arial"/>
                          <w:b/>
                          <w:bCs/>
                          <w:sz w:val="26"/>
                          <w:szCs w:val="26"/>
                        </w:rPr>
                      </w:pPr>
                      <w:r>
                        <w:rPr>
                          <w:rFonts w:ascii="Arial" w:hAnsi="Arial" w:hint="cs"/>
                          <w:b/>
                          <w:bCs/>
                          <w:sz w:val="26"/>
                          <w:szCs w:val="26"/>
                          <w:rtl/>
                        </w:rPr>
                        <w:t>המבקשת:</w:t>
                      </w:r>
                    </w:p>
                  </w:sdtContent>
                </w:sdt>
              </w:tc>
              <w:tc>
                <w:tcPr>
                  <w:tcW w:w="5571" w:type="dxa"/>
                </w:tcPr>
                <w:p w:rsidR="008634BA" w:rsidRDefault="008634BA" w:rsidP="008634BA">
                  <w:pPr>
                    <w:suppressLineNumbers/>
                    <w:rPr>
                      <w:rFonts w:ascii="Arial" w:hAnsi="Arial"/>
                      <w:b/>
                      <w:bCs/>
                      <w:sz w:val="26"/>
                      <w:szCs w:val="26"/>
                      <w:rtl/>
                    </w:rPr>
                  </w:pPr>
                </w:p>
                <w:p w:rsidR="008634BA" w:rsidRDefault="00DD0F52" w:rsidP="008634BA">
                  <w:pPr>
                    <w:suppressLineNumbers/>
                    <w:rPr>
                      <w:rtl/>
                    </w:rPr>
                  </w:pPr>
                  <w:sdt>
                    <w:sdtPr>
                      <w:rPr>
                        <w:rFonts w:ascii="Arial" w:hAnsi="Arial"/>
                        <w:b/>
                        <w:bCs/>
                        <w:sz w:val="26"/>
                        <w:szCs w:val="26"/>
                        <w:rtl/>
                      </w:rPr>
                      <w:alias w:val="3151"/>
                      <w:tag w:val="3151"/>
                      <w:id w:val="1398553265"/>
                      <w:placeholder>
                        <w:docPart w:val="06913A6F5EC14B6D9A15F2CCC3ED9BDD"/>
                      </w:placeholder>
                      <w:text w:multiLine="1"/>
                    </w:sdtPr>
                    <w:sdtEndPr/>
                    <w:sdtContent>
                      <w:r w:rsidR="008634BA">
                        <w:rPr>
                          <w:rFonts w:ascii="Arial" w:hAnsi="Arial" w:hint="cs"/>
                          <w:b/>
                          <w:bCs/>
                          <w:sz w:val="26"/>
                          <w:szCs w:val="26"/>
                          <w:rtl/>
                        </w:rPr>
                        <w:t>ג.ל</w:t>
                      </w:r>
                    </w:sdtContent>
                  </w:sdt>
                  <w:r w:rsidR="008634BA">
                    <w:rPr>
                      <w:rtl/>
                    </w:rPr>
                    <w:t xml:space="preserve"> </w:t>
                  </w:r>
                </w:p>
                <w:p w:rsidR="008634BA" w:rsidRDefault="008634BA" w:rsidP="008634BA">
                  <w:pPr>
                    <w:suppressLineNumbers/>
                    <w:rPr>
                      <w:b/>
                      <w:bCs/>
                      <w:sz w:val="26"/>
                      <w:szCs w:val="26"/>
                      <w:rtl/>
                    </w:rPr>
                  </w:pPr>
                  <w:r>
                    <w:rPr>
                      <w:rFonts w:ascii="Arial" w:hAnsi="Arial" w:hint="cs"/>
                      <w:b/>
                      <w:bCs/>
                      <w:sz w:val="26"/>
                      <w:szCs w:val="26"/>
                      <w:rtl/>
                    </w:rPr>
                    <w:t>ללא ייצוג</w:t>
                  </w:r>
                </w:p>
              </w:tc>
            </w:tr>
            <w:tr w:rsidR="008634BA" w:rsidTr="00114F88">
              <w:trPr>
                <w:jc w:val="center"/>
              </w:trPr>
              <w:tc>
                <w:tcPr>
                  <w:tcW w:w="8820" w:type="dxa"/>
                  <w:gridSpan w:val="2"/>
                </w:tcPr>
                <w:p w:rsidR="008634BA" w:rsidRDefault="008634BA" w:rsidP="008634BA">
                  <w:pPr>
                    <w:suppressLineNumbers/>
                    <w:rPr>
                      <w:rFonts w:ascii="Arial" w:hAnsi="Arial"/>
                      <w:b/>
                      <w:bCs/>
                      <w:sz w:val="26"/>
                      <w:szCs w:val="26"/>
                    </w:rPr>
                  </w:pPr>
                </w:p>
                <w:p w:rsidR="008634BA" w:rsidRDefault="008634BA" w:rsidP="008634BA">
                  <w:pPr>
                    <w:suppressLineNumbers/>
                    <w:jc w:val="center"/>
                    <w:rPr>
                      <w:rFonts w:ascii="Arial" w:hAnsi="Arial"/>
                      <w:b/>
                      <w:bCs/>
                      <w:sz w:val="26"/>
                      <w:szCs w:val="26"/>
                      <w:rtl/>
                    </w:rPr>
                  </w:pPr>
                  <w:r>
                    <w:rPr>
                      <w:rFonts w:ascii="Arial" w:hAnsi="Arial"/>
                      <w:b/>
                      <w:bCs/>
                      <w:sz w:val="26"/>
                      <w:szCs w:val="26"/>
                      <w:rtl/>
                    </w:rPr>
                    <w:t>נגד</w:t>
                  </w:r>
                </w:p>
                <w:p w:rsidR="008634BA" w:rsidRDefault="008634BA" w:rsidP="008634BA">
                  <w:pPr>
                    <w:suppressLineNumbers/>
                    <w:rPr>
                      <w:rFonts w:ascii="Arial" w:hAnsi="Arial"/>
                      <w:b/>
                      <w:bCs/>
                      <w:sz w:val="26"/>
                      <w:szCs w:val="26"/>
                      <w:rtl/>
                    </w:rPr>
                  </w:pPr>
                </w:p>
              </w:tc>
            </w:tr>
            <w:tr w:rsidR="008634BA" w:rsidTr="00114F88">
              <w:trPr>
                <w:jc w:val="center"/>
              </w:trPr>
              <w:tc>
                <w:tcPr>
                  <w:tcW w:w="3249" w:type="dxa"/>
                  <w:hideMark/>
                </w:tcPr>
                <w:p w:rsidR="008634BA" w:rsidRDefault="00DD0F52" w:rsidP="008634BA">
                  <w:pPr>
                    <w:suppressLineNumbers/>
                    <w:rPr>
                      <w:rFonts w:ascii="Arial" w:hAnsi="Arial"/>
                      <w:b/>
                      <w:bCs/>
                      <w:sz w:val="26"/>
                      <w:szCs w:val="26"/>
                    </w:rPr>
                  </w:pPr>
                  <w:sdt>
                    <w:sdtPr>
                      <w:rPr>
                        <w:rtl/>
                      </w:rPr>
                      <w:alias w:val="1184"/>
                      <w:tag w:val="1184"/>
                      <w:id w:val="-340621022"/>
                      <w:text w:multiLine="1"/>
                    </w:sdtPr>
                    <w:sdtEndPr/>
                    <w:sdtContent>
                      <w:r w:rsidR="008634BA">
                        <w:rPr>
                          <w:rFonts w:ascii="Arial" w:hAnsi="Arial" w:hint="cs"/>
                          <w:b/>
                          <w:bCs/>
                          <w:sz w:val="26"/>
                          <w:szCs w:val="26"/>
                          <w:rtl/>
                        </w:rPr>
                        <w:t>המשיב:</w:t>
                      </w:r>
                    </w:sdtContent>
                  </w:sdt>
                </w:p>
              </w:tc>
              <w:tc>
                <w:tcPr>
                  <w:tcW w:w="5571" w:type="dxa"/>
                  <w:hideMark/>
                </w:tcPr>
                <w:p w:rsidR="008634BA" w:rsidRDefault="008634BA" w:rsidP="008634BA">
                  <w:pPr>
                    <w:suppressLineNumbers/>
                    <w:rPr>
                      <w:rFonts w:ascii="Arial" w:hAnsi="Arial"/>
                      <w:b/>
                      <w:bCs/>
                      <w:sz w:val="26"/>
                      <w:szCs w:val="26"/>
                      <w:rtl/>
                    </w:rPr>
                  </w:pPr>
                  <w:r>
                    <w:rPr>
                      <w:rFonts w:ascii="Arial" w:hAnsi="Arial"/>
                      <w:b/>
                      <w:bCs/>
                      <w:sz w:val="26"/>
                      <w:szCs w:val="26"/>
                      <w:rtl/>
                    </w:rPr>
                    <w:t xml:space="preserve"> </w:t>
                  </w:r>
                  <w:sdt>
                    <w:sdtPr>
                      <w:rPr>
                        <w:rFonts w:ascii="Arial" w:hAnsi="Arial" w:hint="cs"/>
                        <w:b/>
                        <w:bCs/>
                        <w:sz w:val="26"/>
                        <w:szCs w:val="26"/>
                        <w:rtl/>
                      </w:rPr>
                      <w:alias w:val="3152"/>
                      <w:tag w:val="3152"/>
                      <w:id w:val="1920052440"/>
                      <w:placeholder>
                        <w:docPart w:val="FE8762CAB3A64F52B20087981CB1EAC7"/>
                      </w:placeholder>
                      <w:text w:multiLine="1"/>
                    </w:sdtPr>
                    <w:sdtEndPr/>
                    <w:sdtContent>
                      <w:r>
                        <w:rPr>
                          <w:rFonts w:ascii="Arial" w:hAnsi="Arial" w:hint="cs"/>
                          <w:b/>
                          <w:bCs/>
                          <w:sz w:val="26"/>
                          <w:szCs w:val="26"/>
                          <w:rtl/>
                        </w:rPr>
                        <w:t xml:space="preserve">ז.מ </w:t>
                      </w:r>
                    </w:sdtContent>
                  </w:sdt>
                  <w:r>
                    <w:rPr>
                      <w:rtl/>
                    </w:rPr>
                    <w:t xml:space="preserve"> </w:t>
                  </w:r>
                </w:p>
                <w:p w:rsidR="008634BA" w:rsidRDefault="008634BA" w:rsidP="008634BA">
                  <w:pPr>
                    <w:suppressLineNumbers/>
                    <w:rPr>
                      <w:rtl/>
                    </w:rPr>
                  </w:pPr>
                  <w:r>
                    <w:rPr>
                      <w:rFonts w:ascii="Arial" w:hAnsi="Arial"/>
                      <w:b/>
                      <w:bCs/>
                      <w:sz w:val="26"/>
                      <w:szCs w:val="26"/>
                      <w:rtl/>
                    </w:rPr>
                    <w:t>ע"י ב"כ עוה"ד</w:t>
                  </w:r>
                  <w:r>
                    <w:rPr>
                      <w:rFonts w:hint="cs"/>
                      <w:rtl/>
                    </w:rPr>
                    <w:t xml:space="preserve"> </w:t>
                  </w:r>
                  <w:r>
                    <w:rPr>
                      <w:rFonts w:hint="cs"/>
                      <w:b/>
                      <w:bCs/>
                      <w:rtl/>
                    </w:rPr>
                    <w:t>זיו גרובר</w:t>
                  </w:r>
                </w:p>
                <w:p w:rsidR="008634BA" w:rsidRDefault="008634BA" w:rsidP="008634BA">
                  <w:pPr>
                    <w:suppressLineNumbers/>
                  </w:pPr>
                </w:p>
              </w:tc>
            </w:tr>
            <w:tr w:rsidR="008634BA" w:rsidTr="00114F88">
              <w:trPr>
                <w:jc w:val="center"/>
              </w:trPr>
              <w:tc>
                <w:tcPr>
                  <w:tcW w:w="8820" w:type="dxa"/>
                  <w:gridSpan w:val="2"/>
                </w:tcPr>
                <w:p w:rsidR="008634BA" w:rsidRDefault="008634BA" w:rsidP="008634BA">
                  <w:pPr>
                    <w:suppressLineNumbers/>
                    <w:rPr>
                      <w:rtl/>
                    </w:rPr>
                  </w:pPr>
                </w:p>
              </w:tc>
            </w:tr>
          </w:tbl>
          <w:p w:rsidR="008634BA" w:rsidRPr="00DD05A8" w:rsidRDefault="008634BA" w:rsidP="00D44968">
            <w:pPr>
              <w:suppressLineNumbers/>
              <w:rPr>
                <w:rFonts w:ascii="Arial" w:hAnsi="Arial" w:cs="FrankRuehl"/>
                <w:sz w:val="26"/>
                <w:szCs w:val="26"/>
                <w:highlight w:val="yellow"/>
              </w:rPr>
            </w:pPr>
          </w:p>
        </w:tc>
      </w:tr>
      <w:tr w:rsidR="00694556" w:rsidRPr="00DE1E7D" w:rsidTr="008634BA">
        <w:trPr>
          <w:gridAfter w:val="1"/>
          <w:wAfter w:w="438" w:type="dxa"/>
          <w:jc w:val="center"/>
        </w:trPr>
        <w:tc>
          <w:tcPr>
            <w:tcW w:w="8820" w:type="dxa"/>
            <w:gridSpan w:val="2"/>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081715" w:rsidRPr="00D44968" w:rsidRDefault="00081715" w:rsidP="00081715">
            <w:pPr>
              <w:bidi w:val="0"/>
              <w:jc w:val="center"/>
              <w:rPr>
                <w:rFonts w:ascii="Arial" w:hAnsi="Arial"/>
                <w:b/>
                <w:bCs/>
                <w:noProof w:val="0"/>
                <w:sz w:val="28"/>
                <w:szCs w:val="28"/>
                <w:u w:val="single"/>
              </w:rPr>
            </w:pPr>
          </w:p>
        </w:tc>
      </w:tr>
    </w:tbl>
    <w:p w:rsidR="00AF73AD" w:rsidRDefault="00AF73AD" w:rsidP="005108D9">
      <w:pPr>
        <w:spacing w:line="360" w:lineRule="auto"/>
        <w:jc w:val="both"/>
        <w:rPr>
          <w:noProof w:val="0"/>
        </w:rPr>
      </w:pPr>
      <w:bookmarkStart w:id="1" w:name="NGCSBookmark"/>
      <w:bookmarkEnd w:id="1"/>
      <w:r>
        <w:rPr>
          <w:rtl/>
        </w:rPr>
        <w:t xml:space="preserve">בפניי בקשת רשות ערעור על החלטתו של בימ"ש קמא מיום </w:t>
      </w:r>
      <w:r>
        <w:rPr>
          <w:rFonts w:hint="cs"/>
          <w:rtl/>
        </w:rPr>
        <w:t>6.6.23</w:t>
      </w:r>
      <w:r>
        <w:rPr>
          <w:rtl/>
        </w:rPr>
        <w:t xml:space="preserve"> (כב' השופט</w:t>
      </w:r>
      <w:r>
        <w:rPr>
          <w:rFonts w:hint="cs"/>
          <w:rtl/>
        </w:rPr>
        <w:t>ת שושנה ברגר</w:t>
      </w:r>
      <w:r w:rsidR="00A869F0">
        <w:rPr>
          <w:rtl/>
        </w:rPr>
        <w:t xml:space="preserve">) במסגרתו </w:t>
      </w:r>
      <w:r w:rsidR="005108D9">
        <w:rPr>
          <w:rFonts w:hint="cs"/>
          <w:rtl/>
        </w:rPr>
        <w:t xml:space="preserve">נדחתה </w:t>
      </w:r>
      <w:r w:rsidR="00A869F0">
        <w:rPr>
          <w:rFonts w:hint="cs"/>
          <w:rtl/>
        </w:rPr>
        <w:t>בקשת המבקשת לעיכוב הליכי גביית מזונות הקטינים שהוטלו על</w:t>
      </w:r>
      <w:r w:rsidR="005108D9">
        <w:rPr>
          <w:rFonts w:hint="cs"/>
          <w:rtl/>
        </w:rPr>
        <w:t>יה</w:t>
      </w:r>
      <w:r w:rsidR="00A869F0">
        <w:rPr>
          <w:rFonts w:hint="cs"/>
          <w:rtl/>
        </w:rPr>
        <w:t xml:space="preserve">. </w:t>
      </w:r>
      <w:r>
        <w:rPr>
          <w:rtl/>
        </w:rPr>
        <w:t xml:space="preserve"> </w:t>
      </w:r>
    </w:p>
    <w:p w:rsidR="00AF73AD" w:rsidRDefault="00AF73AD" w:rsidP="00AF73AD">
      <w:pPr>
        <w:spacing w:line="360" w:lineRule="auto"/>
        <w:rPr>
          <w:rFonts w:ascii="Arial" w:hAnsi="Arial"/>
          <w:b/>
          <w:bCs/>
          <w:rtl/>
        </w:rPr>
      </w:pPr>
    </w:p>
    <w:p w:rsidR="00AF73AD" w:rsidRPr="00A869F0" w:rsidRDefault="00AF73AD" w:rsidP="00081715">
      <w:pPr>
        <w:spacing w:line="360" w:lineRule="auto"/>
        <w:jc w:val="both"/>
        <w:rPr>
          <w:rFonts w:ascii="Arial" w:hAnsi="Arial"/>
          <w:b/>
          <w:bCs/>
          <w:rtl/>
        </w:rPr>
      </w:pPr>
      <w:r>
        <w:rPr>
          <w:rFonts w:ascii="Arial" w:hAnsi="Arial"/>
          <w:b/>
          <w:bCs/>
          <w:rtl/>
        </w:rPr>
        <w:t xml:space="preserve">לאחר עיון בבקשת רשות הערעור על נספחיה ובתיק קמא, ומכח סמכותי על פי תקנות 138(א)(1)(5) לתקנות סדר הדין האזרחי, תשע"ט-2018 </w:t>
      </w:r>
      <w:r>
        <w:rPr>
          <w:rFonts w:ascii="David" w:hAnsi="David"/>
          <w:b/>
          <w:bCs/>
          <w:rtl/>
        </w:rPr>
        <w:t>אשר הוחלו גם על בקשות רשות ערעור בענייני משפחה מכוח</w:t>
      </w:r>
      <w:r>
        <w:rPr>
          <w:rFonts w:ascii="Garamond" w:hAnsi="Garamond"/>
          <w:b/>
          <w:bCs/>
          <w:rtl/>
        </w:rPr>
        <w:t xml:space="preserve"> </w:t>
      </w:r>
      <w:r>
        <w:rPr>
          <w:rFonts w:ascii="David" w:hAnsi="David"/>
          <w:b/>
          <w:bCs/>
          <w:rtl/>
        </w:rPr>
        <w:t xml:space="preserve">תקנה </w:t>
      </w:r>
      <w:r w:rsidRPr="00AD7521">
        <w:rPr>
          <w:rFonts w:ascii="David" w:hAnsi="David"/>
          <w:b/>
          <w:bCs/>
          <w:rtl/>
        </w:rPr>
        <w:t>44 ל</w:t>
      </w:r>
      <w:hyperlink r:id="rId8" w:history="1">
        <w:r w:rsidRPr="00AD7521">
          <w:rPr>
            <w:rStyle w:val="Hyperlink"/>
            <w:rFonts w:ascii="David" w:hAnsi="David"/>
            <w:b/>
            <w:bCs/>
            <w:color w:val="auto"/>
            <w:u w:val="none"/>
            <w:rtl/>
          </w:rPr>
          <w:t>תקנות בית המשפט לענייני משפחה (סדרי דין), התשפ"א-2020</w:t>
        </w:r>
      </w:hyperlink>
      <w:r>
        <w:rPr>
          <w:rFonts w:ascii="David" w:hAnsi="David"/>
          <w:b/>
          <w:bCs/>
          <w:rtl/>
        </w:rPr>
        <w:t xml:space="preserve">, </w:t>
      </w:r>
      <w:r>
        <w:rPr>
          <w:rFonts w:ascii="Arial" w:hAnsi="Arial"/>
          <w:b/>
          <w:bCs/>
          <w:rtl/>
        </w:rPr>
        <w:t xml:space="preserve">שוכנעתי לדחות את הבקשה אף ללא צורך בתשובה, </w:t>
      </w:r>
      <w:r w:rsidR="00081715" w:rsidRPr="00AD7521">
        <w:rPr>
          <w:rFonts w:ascii="Arial" w:hAnsi="Arial" w:hint="cs"/>
          <w:b/>
          <w:bCs/>
          <w:u w:val="single"/>
          <w:rtl/>
        </w:rPr>
        <w:t>בהיותה בקשת סרק, איננה מנומקת</w:t>
      </w:r>
      <w:r w:rsidR="00940277">
        <w:rPr>
          <w:rFonts w:ascii="Arial" w:hAnsi="Arial" w:hint="cs"/>
          <w:b/>
          <w:bCs/>
          <w:u w:val="single"/>
          <w:rtl/>
        </w:rPr>
        <w:t xml:space="preserve"> בנימוקים רלוונטיים</w:t>
      </w:r>
      <w:r w:rsidR="00081715" w:rsidRPr="00AD7521">
        <w:rPr>
          <w:rFonts w:ascii="Arial" w:hAnsi="Arial" w:hint="cs"/>
          <w:b/>
          <w:bCs/>
          <w:u w:val="single"/>
          <w:rtl/>
        </w:rPr>
        <w:t xml:space="preserve"> ואיננה עומדת בדרישות הדין לערעור</w:t>
      </w:r>
      <w:r w:rsidR="00081715">
        <w:rPr>
          <w:rFonts w:ascii="Arial" w:hAnsi="Arial" w:hint="cs"/>
          <w:b/>
          <w:bCs/>
          <w:rtl/>
        </w:rPr>
        <w:t xml:space="preserve">, הכל </w:t>
      </w:r>
      <w:r>
        <w:rPr>
          <w:rFonts w:ascii="Arial" w:hAnsi="Arial"/>
          <w:b/>
          <w:bCs/>
          <w:rtl/>
        </w:rPr>
        <w:t>מהטעמים שיפורטו</w:t>
      </w:r>
      <w:r w:rsidR="00081715">
        <w:rPr>
          <w:rFonts w:ascii="Arial" w:hAnsi="Arial" w:hint="cs"/>
          <w:b/>
          <w:bCs/>
          <w:rtl/>
        </w:rPr>
        <w:t xml:space="preserve"> להלן</w:t>
      </w:r>
      <w:r>
        <w:rPr>
          <w:rFonts w:ascii="Arial" w:hAnsi="Arial"/>
          <w:b/>
          <w:bCs/>
          <w:rtl/>
        </w:rPr>
        <w:t xml:space="preserve">. </w:t>
      </w:r>
    </w:p>
    <w:p w:rsidR="00AF73AD" w:rsidRDefault="00AF73AD" w:rsidP="00AF73AD">
      <w:pPr>
        <w:spacing w:line="360" w:lineRule="auto"/>
        <w:ind w:left="84"/>
        <w:rPr>
          <w:rFonts w:ascii="Arial" w:hAnsi="Arial"/>
          <w:rtl/>
        </w:rPr>
      </w:pPr>
    </w:p>
    <w:p w:rsidR="00AD7521" w:rsidRPr="00AD7521" w:rsidRDefault="00110A53" w:rsidP="00DB205E">
      <w:pPr>
        <w:pStyle w:val="ad"/>
        <w:numPr>
          <w:ilvl w:val="0"/>
          <w:numId w:val="1"/>
        </w:numPr>
        <w:spacing w:line="360" w:lineRule="auto"/>
        <w:jc w:val="both"/>
        <w:rPr>
          <w:rFonts w:ascii="Arial" w:hAnsi="Arial"/>
          <w:b/>
          <w:bCs/>
        </w:rPr>
      </w:pPr>
      <w:r>
        <w:rPr>
          <w:rFonts w:ascii="Arial" w:hAnsi="Arial" w:hint="cs"/>
          <w:rtl/>
        </w:rPr>
        <w:t>בראשית הדברים יצויין, כי המבקשת איננה  מיוצגת, לא בבימ"ש קמא ול</w:t>
      </w:r>
      <w:r w:rsidR="00AD7521">
        <w:rPr>
          <w:rFonts w:ascii="Arial" w:hAnsi="Arial" w:hint="cs"/>
          <w:rtl/>
        </w:rPr>
        <w:t xml:space="preserve">א בערכאות הערעור למיניהם ומתעקשת לנהל את ההליך המשפטי בעצמה. ייאמר מייד, זו זכותה, </w:t>
      </w:r>
      <w:r w:rsidR="00AD7521" w:rsidRPr="00AD7521">
        <w:rPr>
          <w:rFonts w:ascii="Arial" w:hAnsi="Arial" w:hint="cs"/>
          <w:b/>
          <w:bCs/>
          <w:rtl/>
        </w:rPr>
        <w:t>אך "הנחות" בגין כך לא יינתנו לה.</w:t>
      </w:r>
    </w:p>
    <w:p w:rsidR="00AD7521" w:rsidRDefault="00AD7521" w:rsidP="00AD7521">
      <w:pPr>
        <w:pStyle w:val="ad"/>
        <w:spacing w:line="360" w:lineRule="auto"/>
        <w:ind w:left="444"/>
        <w:jc w:val="both"/>
        <w:rPr>
          <w:rFonts w:ascii="Arial" w:hAnsi="Arial"/>
        </w:rPr>
      </w:pPr>
      <w:r>
        <w:rPr>
          <w:rFonts w:ascii="Arial" w:hAnsi="Arial" w:hint="cs"/>
          <w:rtl/>
        </w:rPr>
        <w:t>ומכאן להשתלשלות ההליכים הרלוונטיים ונימוקי דחיית בקשת רשות הערעור.</w:t>
      </w:r>
    </w:p>
    <w:p w:rsidR="00110A53" w:rsidRDefault="00110A53" w:rsidP="00AD7521">
      <w:pPr>
        <w:pStyle w:val="ad"/>
        <w:spacing w:line="360" w:lineRule="auto"/>
        <w:ind w:left="444"/>
        <w:jc w:val="both"/>
        <w:rPr>
          <w:rFonts w:ascii="Arial" w:hAnsi="Arial"/>
        </w:rPr>
      </w:pPr>
    </w:p>
    <w:p w:rsidR="00185AF5" w:rsidRDefault="00185AF5" w:rsidP="00AD7521">
      <w:pPr>
        <w:pStyle w:val="ad"/>
        <w:numPr>
          <w:ilvl w:val="0"/>
          <w:numId w:val="1"/>
        </w:numPr>
        <w:spacing w:line="360" w:lineRule="auto"/>
        <w:jc w:val="both"/>
        <w:rPr>
          <w:rFonts w:ascii="Arial" w:hAnsi="Arial"/>
        </w:rPr>
      </w:pPr>
      <w:r>
        <w:rPr>
          <w:rFonts w:ascii="Arial" w:hAnsi="Arial" w:hint="cs"/>
          <w:rtl/>
        </w:rPr>
        <w:t>ביום 23.10.22 פסק בימ"ש מזונות זמניים</w:t>
      </w:r>
      <w:r w:rsidR="00AD7521">
        <w:rPr>
          <w:rFonts w:ascii="Arial" w:hAnsi="Arial" w:hint="cs"/>
          <w:rtl/>
        </w:rPr>
        <w:t>,</w:t>
      </w:r>
      <w:r>
        <w:rPr>
          <w:rFonts w:ascii="Arial" w:hAnsi="Arial" w:hint="cs"/>
          <w:rtl/>
        </w:rPr>
        <w:t xml:space="preserve"> המחייבים את המבקשת לשלם למשיב</w:t>
      </w:r>
      <w:r w:rsidR="00AD7521">
        <w:rPr>
          <w:rFonts w:ascii="Arial" w:hAnsi="Arial" w:hint="cs"/>
          <w:rtl/>
        </w:rPr>
        <w:t xml:space="preserve"> סך כולל של </w:t>
      </w:r>
      <w:r>
        <w:rPr>
          <w:rFonts w:ascii="Arial" w:hAnsi="Arial" w:hint="cs"/>
          <w:rtl/>
        </w:rPr>
        <w:t>1,500 ₪ ב</w:t>
      </w:r>
      <w:r w:rsidR="00AD7521">
        <w:rPr>
          <w:rFonts w:ascii="Arial" w:hAnsi="Arial" w:hint="cs"/>
          <w:rtl/>
        </w:rPr>
        <w:t>גין שני הקטינים</w:t>
      </w:r>
      <w:r w:rsidR="00940277">
        <w:rPr>
          <w:rFonts w:ascii="Arial" w:hAnsi="Arial" w:hint="cs"/>
          <w:rtl/>
        </w:rPr>
        <w:t xml:space="preserve"> המשותפים</w:t>
      </w:r>
      <w:r w:rsidR="00AD7521">
        <w:rPr>
          <w:rFonts w:ascii="Arial" w:hAnsi="Arial" w:hint="cs"/>
          <w:rtl/>
        </w:rPr>
        <w:t xml:space="preserve"> המצויים במשמורת המשיב, </w:t>
      </w:r>
      <w:r w:rsidR="00110A53">
        <w:rPr>
          <w:rFonts w:ascii="Arial" w:hAnsi="Arial" w:hint="cs"/>
          <w:rtl/>
        </w:rPr>
        <w:t>כאשר שני הצדדים יישאו בחלקים שווים בהוצאות החינוך והבריאות</w:t>
      </w:r>
      <w:r>
        <w:rPr>
          <w:rFonts w:ascii="Arial" w:hAnsi="Arial" w:hint="cs"/>
          <w:rtl/>
        </w:rPr>
        <w:t>.</w:t>
      </w:r>
    </w:p>
    <w:p w:rsidR="00110A53" w:rsidRDefault="00110A53" w:rsidP="00110A53">
      <w:pPr>
        <w:pStyle w:val="ad"/>
        <w:spacing w:line="360" w:lineRule="auto"/>
        <w:ind w:left="444"/>
        <w:jc w:val="both"/>
        <w:rPr>
          <w:rFonts w:ascii="Arial" w:hAnsi="Arial"/>
        </w:rPr>
      </w:pPr>
    </w:p>
    <w:p w:rsidR="00110A53" w:rsidRDefault="00AD7521" w:rsidP="00C60D62">
      <w:pPr>
        <w:pStyle w:val="ad"/>
        <w:numPr>
          <w:ilvl w:val="0"/>
          <w:numId w:val="1"/>
        </w:numPr>
        <w:spacing w:line="360" w:lineRule="auto"/>
        <w:jc w:val="both"/>
        <w:rPr>
          <w:rFonts w:ascii="Arial" w:hAnsi="Arial"/>
        </w:rPr>
      </w:pPr>
      <w:r>
        <w:rPr>
          <w:rFonts w:ascii="Arial" w:hAnsi="Arial" w:hint="cs"/>
          <w:rtl/>
        </w:rPr>
        <w:t xml:space="preserve">המבקשת, בהיותה לא מיוצגת, הגישה בקשה בתיק </w:t>
      </w:r>
      <w:r w:rsidRPr="00940277">
        <w:rPr>
          <w:rFonts w:ascii="Arial" w:hAnsi="Arial" w:hint="cs"/>
          <w:u w:val="single"/>
          <w:rtl/>
        </w:rPr>
        <w:t>המופנית לנשיאת בית המשפט לענייני משפחה</w:t>
      </w:r>
      <w:r>
        <w:rPr>
          <w:rFonts w:ascii="Arial" w:hAnsi="Arial" w:hint="cs"/>
          <w:rtl/>
        </w:rPr>
        <w:t xml:space="preserve"> והלינה על ההחלטה, </w:t>
      </w:r>
      <w:r w:rsidR="00C60D62">
        <w:rPr>
          <w:rFonts w:ascii="Arial" w:hAnsi="Arial" w:hint="cs"/>
          <w:rtl/>
        </w:rPr>
        <w:t>כ</w:t>
      </w:r>
      <w:r>
        <w:rPr>
          <w:rFonts w:ascii="Arial" w:hAnsi="Arial" w:hint="cs"/>
          <w:rtl/>
        </w:rPr>
        <w:t>שבפתיח כתבה בהדגשה</w:t>
      </w:r>
      <w:r w:rsidR="00C60D62">
        <w:rPr>
          <w:rFonts w:ascii="Arial" w:hAnsi="Arial" w:hint="cs"/>
          <w:rtl/>
        </w:rPr>
        <w:t>: "</w:t>
      </w:r>
      <w:r w:rsidR="00C60D62" w:rsidRPr="00C60D62">
        <w:rPr>
          <w:rFonts w:ascii="Aharoni" w:hAnsi="Aharoni" w:cs="Aharoni"/>
          <w:rtl/>
        </w:rPr>
        <w:t>פרשת שופטים: "שופטים ושוטרים תתן לך בכל שעריך ושפטו את העם משפט צדק"</w:t>
      </w:r>
      <w:r w:rsidR="00C60D62">
        <w:rPr>
          <w:rFonts w:ascii="Arial" w:hAnsi="Arial" w:hint="cs"/>
          <w:rtl/>
        </w:rPr>
        <w:t xml:space="preserve"> ".</w:t>
      </w:r>
    </w:p>
    <w:p w:rsidR="00940277" w:rsidRDefault="00940277" w:rsidP="00940277">
      <w:pPr>
        <w:pStyle w:val="ad"/>
        <w:spacing w:line="360" w:lineRule="auto"/>
        <w:ind w:left="444"/>
        <w:jc w:val="both"/>
        <w:rPr>
          <w:rFonts w:ascii="Arial" w:hAnsi="Arial"/>
          <w:rtl/>
        </w:rPr>
      </w:pPr>
    </w:p>
    <w:p w:rsidR="008634BA" w:rsidRDefault="008634BA" w:rsidP="00940277">
      <w:pPr>
        <w:pStyle w:val="ad"/>
        <w:spacing w:line="360" w:lineRule="auto"/>
        <w:ind w:left="444"/>
        <w:jc w:val="both"/>
        <w:rPr>
          <w:rFonts w:ascii="Arial" w:hAnsi="Arial"/>
          <w:rtl/>
        </w:rPr>
      </w:pPr>
    </w:p>
    <w:p w:rsidR="008634BA" w:rsidRDefault="008634BA" w:rsidP="00940277">
      <w:pPr>
        <w:pStyle w:val="ad"/>
        <w:spacing w:line="360" w:lineRule="auto"/>
        <w:ind w:left="444"/>
        <w:jc w:val="both"/>
        <w:rPr>
          <w:rFonts w:ascii="Arial" w:hAnsi="Arial"/>
        </w:rPr>
      </w:pPr>
    </w:p>
    <w:p w:rsidR="00C60D62" w:rsidRDefault="00C60D62" w:rsidP="00940277">
      <w:pPr>
        <w:pStyle w:val="ad"/>
        <w:numPr>
          <w:ilvl w:val="0"/>
          <w:numId w:val="1"/>
        </w:numPr>
        <w:spacing w:line="360" w:lineRule="auto"/>
        <w:jc w:val="both"/>
        <w:rPr>
          <w:rFonts w:ascii="Arial" w:hAnsi="Arial"/>
          <w:rtl/>
        </w:rPr>
      </w:pPr>
      <w:r w:rsidRPr="00C60D62">
        <w:rPr>
          <w:rFonts w:ascii="Arial" w:hAnsi="Arial"/>
          <w:rtl/>
        </w:rPr>
        <w:lastRenderedPageBreak/>
        <w:drawing>
          <wp:anchor distT="0" distB="0" distL="114300" distR="114300" simplePos="0" relativeHeight="251660288" behindDoc="0" locked="0" layoutInCell="1" allowOverlap="1">
            <wp:simplePos x="0" y="0"/>
            <wp:positionH relativeFrom="column">
              <wp:posOffset>1438275</wp:posOffset>
            </wp:positionH>
            <wp:positionV relativeFrom="paragraph">
              <wp:posOffset>320675</wp:posOffset>
            </wp:positionV>
            <wp:extent cx="2450902" cy="1704975"/>
            <wp:effectExtent l="0" t="0" r="6985" b="0"/>
            <wp:wrapNone/>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450902" cy="170497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hint="cs"/>
          <w:rtl/>
        </w:rPr>
        <w:t>כאמור הבקשה הגי</w:t>
      </w:r>
      <w:r w:rsidR="00940277">
        <w:rPr>
          <w:rFonts w:ascii="Arial" w:hAnsi="Arial" w:hint="cs"/>
          <w:rtl/>
        </w:rPr>
        <w:t>ע</w:t>
      </w:r>
      <w:r>
        <w:rPr>
          <w:rFonts w:ascii="Arial" w:hAnsi="Arial" w:hint="cs"/>
          <w:rtl/>
        </w:rPr>
        <w:t>ה לנשיאת בית המשפט לענייני משפחה כב' השופטת שלי אייזנברג, שנתנה החלטתה:</w:t>
      </w:r>
    </w:p>
    <w:p w:rsidR="00C60D62" w:rsidRDefault="00C60D62" w:rsidP="00C60D62">
      <w:pPr>
        <w:pStyle w:val="ad"/>
        <w:spacing w:line="360" w:lineRule="auto"/>
        <w:ind w:left="444"/>
        <w:jc w:val="both"/>
        <w:rPr>
          <w:rFonts w:ascii="Arial" w:hAnsi="Arial"/>
          <w:rtl/>
        </w:rPr>
      </w:pPr>
    </w:p>
    <w:p w:rsidR="00C60D62" w:rsidRDefault="00C60D62" w:rsidP="00C60D62">
      <w:pPr>
        <w:pStyle w:val="ad"/>
        <w:spacing w:line="360" w:lineRule="auto"/>
        <w:ind w:left="444"/>
        <w:jc w:val="both"/>
        <w:rPr>
          <w:rFonts w:ascii="Arial" w:hAnsi="Arial"/>
          <w:rtl/>
        </w:rPr>
      </w:pPr>
    </w:p>
    <w:p w:rsidR="00C60D62" w:rsidRDefault="00C60D62" w:rsidP="00C60D62">
      <w:pPr>
        <w:pStyle w:val="ad"/>
        <w:spacing w:line="360" w:lineRule="auto"/>
        <w:ind w:left="444"/>
        <w:jc w:val="both"/>
        <w:rPr>
          <w:rFonts w:ascii="Arial" w:hAnsi="Arial"/>
          <w:rtl/>
        </w:rPr>
      </w:pPr>
    </w:p>
    <w:p w:rsidR="00C60D62" w:rsidRDefault="00C60D62" w:rsidP="00C60D62">
      <w:pPr>
        <w:pStyle w:val="ad"/>
        <w:spacing w:line="360" w:lineRule="auto"/>
        <w:ind w:left="444"/>
        <w:jc w:val="both"/>
        <w:rPr>
          <w:rFonts w:ascii="Arial" w:hAnsi="Arial"/>
          <w:rtl/>
        </w:rPr>
      </w:pPr>
    </w:p>
    <w:p w:rsidR="00C60D62" w:rsidRDefault="00C60D62" w:rsidP="00C60D62">
      <w:pPr>
        <w:pStyle w:val="ad"/>
        <w:spacing w:line="360" w:lineRule="auto"/>
        <w:ind w:left="444"/>
        <w:jc w:val="both"/>
        <w:rPr>
          <w:rFonts w:ascii="Arial" w:hAnsi="Arial"/>
          <w:rtl/>
        </w:rPr>
      </w:pPr>
    </w:p>
    <w:p w:rsidR="00C60D62" w:rsidRDefault="00C60D62" w:rsidP="00C60D62">
      <w:pPr>
        <w:pStyle w:val="ad"/>
        <w:spacing w:line="360" w:lineRule="auto"/>
        <w:ind w:left="444"/>
        <w:jc w:val="both"/>
        <w:rPr>
          <w:rFonts w:ascii="Arial" w:hAnsi="Arial"/>
          <w:rtl/>
        </w:rPr>
      </w:pPr>
    </w:p>
    <w:p w:rsidR="00C60D62" w:rsidRDefault="00C60D62" w:rsidP="00C60D62">
      <w:pPr>
        <w:pStyle w:val="ad"/>
        <w:spacing w:line="360" w:lineRule="auto"/>
        <w:ind w:left="444"/>
        <w:jc w:val="both"/>
        <w:rPr>
          <w:rFonts w:ascii="Arial" w:hAnsi="Arial"/>
          <w:rtl/>
        </w:rPr>
      </w:pPr>
    </w:p>
    <w:p w:rsidR="00C60D62" w:rsidRDefault="00C60D62" w:rsidP="00C60D62">
      <w:pPr>
        <w:pStyle w:val="ad"/>
        <w:spacing w:line="360" w:lineRule="auto"/>
        <w:ind w:left="444"/>
        <w:jc w:val="both"/>
        <w:rPr>
          <w:rFonts w:ascii="Arial" w:hAnsi="Arial"/>
          <w:rtl/>
        </w:rPr>
      </w:pPr>
    </w:p>
    <w:p w:rsidR="007B6056" w:rsidRDefault="00C60D62" w:rsidP="00940277">
      <w:pPr>
        <w:pStyle w:val="ad"/>
        <w:numPr>
          <w:ilvl w:val="0"/>
          <w:numId w:val="1"/>
        </w:numPr>
        <w:spacing w:line="360" w:lineRule="auto"/>
        <w:jc w:val="both"/>
        <w:rPr>
          <w:rFonts w:ascii="Arial" w:hAnsi="Arial"/>
        </w:rPr>
      </w:pPr>
      <w:r>
        <w:rPr>
          <w:rFonts w:ascii="Arial" w:hAnsi="Arial" w:hint="cs"/>
          <w:rtl/>
        </w:rPr>
        <w:t xml:space="preserve">בעקבות האמור הגישה </w:t>
      </w:r>
      <w:r w:rsidR="00185AF5" w:rsidRPr="00110A53">
        <w:rPr>
          <w:rFonts w:ascii="Arial" w:hAnsi="Arial" w:hint="cs"/>
          <w:rtl/>
        </w:rPr>
        <w:t xml:space="preserve">המבקשת בקשת רשות ערעור </w:t>
      </w:r>
      <w:r>
        <w:rPr>
          <w:rFonts w:ascii="Arial" w:hAnsi="Arial" w:hint="cs"/>
          <w:rtl/>
        </w:rPr>
        <w:t>לביהמ"ש המחוזי</w:t>
      </w:r>
      <w:r w:rsidR="006B6DD7">
        <w:rPr>
          <w:rFonts w:ascii="Arial" w:hAnsi="Arial" w:hint="cs"/>
          <w:rtl/>
        </w:rPr>
        <w:t xml:space="preserve"> (רמ"ש 59153-11-22)</w:t>
      </w:r>
      <w:r>
        <w:rPr>
          <w:rFonts w:ascii="Arial" w:hAnsi="Arial" w:hint="cs"/>
          <w:rtl/>
        </w:rPr>
        <w:t xml:space="preserve">, אשר קיים דיון ביום 12.12.22 ובסופו </w:t>
      </w:r>
      <w:r w:rsidR="00185AF5" w:rsidRPr="00110A53">
        <w:rPr>
          <w:rFonts w:ascii="Arial" w:hAnsi="Arial" w:hint="cs"/>
          <w:rtl/>
        </w:rPr>
        <w:t xml:space="preserve">ניתן פסק-דין שאישר את הסכמות הצדדים </w:t>
      </w:r>
      <w:r w:rsidR="00A501E9" w:rsidRPr="00110A53">
        <w:rPr>
          <w:rFonts w:ascii="Arial" w:hAnsi="Arial" w:hint="cs"/>
          <w:rtl/>
        </w:rPr>
        <w:t xml:space="preserve">להמלצת ביהמ"ש לפיה החלטת בימ"ש קמא </w:t>
      </w:r>
      <w:r w:rsidR="00A501E9" w:rsidRPr="00C60D62">
        <w:rPr>
          <w:rFonts w:ascii="Aharoni" w:hAnsi="Aharoni" w:cs="Aharoni"/>
          <w:rtl/>
        </w:rPr>
        <w:t>"תבוטל לעת הזו"</w:t>
      </w:r>
      <w:r w:rsidR="00A501E9" w:rsidRPr="00110A53">
        <w:rPr>
          <w:rFonts w:ascii="Arial" w:hAnsi="Arial" w:hint="cs"/>
          <w:rtl/>
        </w:rPr>
        <w:t xml:space="preserve"> ובימ"ש יידרש מחדש לסוגיית המזונות הזמניים לאחר שתינתן לצדדים הזדמנות להציג בפניו את מלוא האסמכתאות לעניין היכולות הכלכליות וכו'. בימ"ש קמא הוסיף בפסק דינו שאישר את הסכמות הצדדים, הנחיות לבימ"ש קמא בדבר בחינת טענות הצדדים</w:t>
      </w:r>
      <w:r w:rsidR="007B6056">
        <w:rPr>
          <w:rFonts w:ascii="Arial" w:hAnsi="Arial" w:hint="cs"/>
          <w:rtl/>
        </w:rPr>
        <w:t xml:space="preserve"> -</w:t>
      </w:r>
      <w:r w:rsidR="00940277">
        <w:rPr>
          <w:rFonts w:ascii="Arial" w:hAnsi="Arial" w:hint="cs"/>
          <w:rtl/>
        </w:rPr>
        <w:t xml:space="preserve"> </w:t>
      </w:r>
      <w:r w:rsidR="007B6056">
        <w:rPr>
          <w:rFonts w:ascii="Arial" w:hAnsi="Arial" w:hint="cs"/>
          <w:rtl/>
        </w:rPr>
        <w:t xml:space="preserve">להלן: </w:t>
      </w:r>
      <w:r w:rsidR="007B6056" w:rsidRPr="00081715">
        <w:rPr>
          <w:rFonts w:ascii="Arial" w:hAnsi="Arial" w:hint="cs"/>
          <w:u w:val="single"/>
          <w:rtl/>
        </w:rPr>
        <w:t>"פסה"ד הערעורי</w:t>
      </w:r>
      <w:r w:rsidR="007B6056">
        <w:rPr>
          <w:rFonts w:ascii="Arial" w:hAnsi="Arial" w:hint="cs"/>
          <w:u w:val="single"/>
          <w:rtl/>
        </w:rPr>
        <w:t xml:space="preserve"> הראשון</w:t>
      </w:r>
      <w:r w:rsidR="007B6056" w:rsidRPr="00081715">
        <w:rPr>
          <w:rFonts w:ascii="Arial" w:hAnsi="Arial" w:hint="cs"/>
          <w:u w:val="single"/>
          <w:rtl/>
        </w:rPr>
        <w:t>"</w:t>
      </w:r>
      <w:r w:rsidR="007B6056">
        <w:rPr>
          <w:rFonts w:ascii="Arial" w:hAnsi="Arial" w:hint="cs"/>
          <w:rtl/>
        </w:rPr>
        <w:t>.</w:t>
      </w:r>
    </w:p>
    <w:p w:rsidR="007B6056" w:rsidRDefault="007B6056" w:rsidP="00525D95">
      <w:pPr>
        <w:pStyle w:val="ad"/>
        <w:ind w:left="444"/>
        <w:jc w:val="both"/>
        <w:rPr>
          <w:rFonts w:ascii="Arial" w:hAnsi="Arial"/>
        </w:rPr>
      </w:pPr>
    </w:p>
    <w:p w:rsidR="00A869F0" w:rsidRPr="00110A53" w:rsidRDefault="00A501E9" w:rsidP="00525D95">
      <w:pPr>
        <w:pStyle w:val="ad"/>
        <w:numPr>
          <w:ilvl w:val="0"/>
          <w:numId w:val="1"/>
        </w:numPr>
        <w:spacing w:line="360" w:lineRule="auto"/>
        <w:jc w:val="both"/>
        <w:rPr>
          <w:rFonts w:ascii="Arial" w:hAnsi="Arial"/>
        </w:rPr>
      </w:pPr>
      <w:r w:rsidRPr="00110A53">
        <w:rPr>
          <w:rFonts w:ascii="Arial" w:hAnsi="Arial" w:hint="cs"/>
          <w:rtl/>
        </w:rPr>
        <w:t xml:space="preserve"> ואכן הצדדים </w:t>
      </w:r>
      <w:r w:rsidR="00110A53" w:rsidRPr="00110A53">
        <w:rPr>
          <w:rFonts w:ascii="Arial" w:hAnsi="Arial" w:hint="cs"/>
          <w:rtl/>
        </w:rPr>
        <w:t>פעלו בהתאם ל</w:t>
      </w:r>
      <w:r w:rsidR="007B6056">
        <w:rPr>
          <w:rFonts w:ascii="Arial" w:hAnsi="Arial" w:hint="cs"/>
          <w:rtl/>
        </w:rPr>
        <w:t xml:space="preserve">פסה"ד הערעורי הראשון והגישו את אשר נדרשו, </w:t>
      </w:r>
      <w:r w:rsidR="00110A53" w:rsidRPr="00110A53">
        <w:rPr>
          <w:rFonts w:ascii="Arial" w:hAnsi="Arial" w:hint="cs"/>
          <w:rtl/>
        </w:rPr>
        <w:t xml:space="preserve">בימ"ש קמא אף קיים דיון </w:t>
      </w:r>
      <w:r w:rsidR="00110A53" w:rsidRPr="006B6DD7">
        <w:rPr>
          <w:rFonts w:ascii="Arial" w:hAnsi="Arial" w:hint="cs"/>
          <w:b/>
          <w:bCs/>
          <w:u w:val="single"/>
          <w:rtl/>
        </w:rPr>
        <w:t>וב</w:t>
      </w:r>
      <w:r w:rsidR="00A869F0" w:rsidRPr="006B6DD7">
        <w:rPr>
          <w:rFonts w:ascii="Arial" w:hAnsi="Arial" w:hint="cs"/>
          <w:b/>
          <w:bCs/>
          <w:u w:val="single"/>
          <w:rtl/>
        </w:rPr>
        <w:t>יום 2.2.23</w:t>
      </w:r>
      <w:r w:rsidR="00A869F0" w:rsidRPr="006B6DD7">
        <w:rPr>
          <w:rFonts w:ascii="Arial" w:hAnsi="Arial" w:hint="cs"/>
          <w:b/>
          <w:bCs/>
          <w:rtl/>
        </w:rPr>
        <w:t xml:space="preserve"> ניתנה החלטה </w:t>
      </w:r>
      <w:r w:rsidR="00110A53" w:rsidRPr="006B6DD7">
        <w:rPr>
          <w:rFonts w:ascii="Arial" w:hAnsi="Arial" w:hint="cs"/>
          <w:b/>
          <w:bCs/>
          <w:rtl/>
        </w:rPr>
        <w:t>חדש</w:t>
      </w:r>
      <w:r w:rsidR="006B6DD7" w:rsidRPr="006B6DD7">
        <w:rPr>
          <w:rFonts w:ascii="Arial" w:hAnsi="Arial" w:hint="cs"/>
          <w:b/>
          <w:bCs/>
          <w:rtl/>
        </w:rPr>
        <w:t>ה</w:t>
      </w:r>
      <w:r w:rsidR="00110A53" w:rsidRPr="006B6DD7">
        <w:rPr>
          <w:rFonts w:ascii="Arial" w:hAnsi="Arial" w:hint="cs"/>
          <w:b/>
          <w:bCs/>
          <w:rtl/>
        </w:rPr>
        <w:t xml:space="preserve"> </w:t>
      </w:r>
      <w:r w:rsidR="00A869F0" w:rsidRPr="006B6DD7">
        <w:rPr>
          <w:rFonts w:ascii="Arial" w:hAnsi="Arial" w:hint="cs"/>
          <w:b/>
          <w:bCs/>
          <w:rtl/>
        </w:rPr>
        <w:t>למזונות זמניים</w:t>
      </w:r>
      <w:r w:rsidR="006B6DD7">
        <w:rPr>
          <w:rFonts w:ascii="Arial" w:hAnsi="Arial" w:hint="cs"/>
          <w:b/>
          <w:bCs/>
          <w:rtl/>
        </w:rPr>
        <w:t xml:space="preserve">, מנומקת ומפורטת, </w:t>
      </w:r>
      <w:r w:rsidR="00110A53" w:rsidRPr="006B6DD7">
        <w:rPr>
          <w:rFonts w:ascii="Arial" w:hAnsi="Arial" w:hint="cs"/>
          <w:b/>
          <w:bCs/>
          <w:rtl/>
        </w:rPr>
        <w:t xml:space="preserve">שלמעשה חזרה על </w:t>
      </w:r>
      <w:r w:rsidR="007B6056">
        <w:rPr>
          <w:rFonts w:ascii="Arial" w:hAnsi="Arial" w:hint="cs"/>
          <w:b/>
          <w:bCs/>
          <w:rtl/>
        </w:rPr>
        <w:t xml:space="preserve">חיוב המזונות שבהחלטה </w:t>
      </w:r>
      <w:r w:rsidR="00110A53" w:rsidRPr="006B6DD7">
        <w:rPr>
          <w:rFonts w:ascii="Arial" w:hAnsi="Arial" w:hint="cs"/>
          <w:b/>
          <w:bCs/>
          <w:rtl/>
        </w:rPr>
        <w:t xml:space="preserve">הראשונה </w:t>
      </w:r>
      <w:r w:rsidR="007B6056">
        <w:rPr>
          <w:rFonts w:ascii="Arial" w:hAnsi="Arial" w:hint="cs"/>
          <w:b/>
          <w:bCs/>
          <w:rtl/>
        </w:rPr>
        <w:t xml:space="preserve">וחייבה את </w:t>
      </w:r>
      <w:r w:rsidR="00A869F0" w:rsidRPr="006B6DD7">
        <w:rPr>
          <w:rFonts w:ascii="Arial" w:hAnsi="Arial" w:hint="cs"/>
          <w:b/>
          <w:bCs/>
          <w:rtl/>
        </w:rPr>
        <w:t>המבקשת לשלם למשיב דמי מזונות</w:t>
      </w:r>
      <w:r w:rsidR="00DB205E" w:rsidRPr="006B6DD7">
        <w:rPr>
          <w:rFonts w:ascii="Arial" w:hAnsi="Arial" w:hint="cs"/>
          <w:b/>
          <w:bCs/>
          <w:rtl/>
        </w:rPr>
        <w:t xml:space="preserve"> זמניים</w:t>
      </w:r>
      <w:r w:rsidR="00A869F0" w:rsidRPr="006B6DD7">
        <w:rPr>
          <w:rFonts w:ascii="Arial" w:hAnsi="Arial" w:hint="cs"/>
          <w:b/>
          <w:bCs/>
          <w:rtl/>
        </w:rPr>
        <w:t xml:space="preserve"> בסך</w:t>
      </w:r>
      <w:r w:rsidR="00110A53" w:rsidRPr="006B6DD7">
        <w:rPr>
          <w:rFonts w:ascii="Arial" w:hAnsi="Arial" w:hint="cs"/>
          <w:b/>
          <w:bCs/>
          <w:rtl/>
        </w:rPr>
        <w:t xml:space="preserve"> 1,500 ₪</w:t>
      </w:r>
      <w:r w:rsidR="00DB205E" w:rsidRPr="006B6DD7">
        <w:rPr>
          <w:rFonts w:ascii="Arial" w:hAnsi="Arial" w:hint="cs"/>
          <w:b/>
          <w:bCs/>
          <w:rtl/>
        </w:rPr>
        <w:t xml:space="preserve"> </w:t>
      </w:r>
      <w:r w:rsidR="00DB205E" w:rsidRPr="00110A53">
        <w:rPr>
          <w:rFonts w:ascii="Arial" w:hAnsi="Arial" w:hint="cs"/>
          <w:rtl/>
        </w:rPr>
        <w:t xml:space="preserve">- להלן: </w:t>
      </w:r>
      <w:r w:rsidR="00DB205E" w:rsidRPr="00110A53">
        <w:rPr>
          <w:rFonts w:ascii="Arial" w:hAnsi="Arial" w:hint="cs"/>
          <w:u w:val="single"/>
          <w:rtl/>
        </w:rPr>
        <w:t>"החלטת המזונות</w:t>
      </w:r>
      <w:r w:rsidR="006B6DD7">
        <w:rPr>
          <w:rFonts w:ascii="Arial" w:hAnsi="Arial" w:hint="cs"/>
          <w:u w:val="single"/>
          <w:rtl/>
        </w:rPr>
        <w:t xml:space="preserve"> השנייה</w:t>
      </w:r>
      <w:r w:rsidR="00DB205E" w:rsidRPr="00110A53">
        <w:rPr>
          <w:rFonts w:ascii="Arial" w:hAnsi="Arial" w:hint="cs"/>
          <w:u w:val="single"/>
          <w:rtl/>
        </w:rPr>
        <w:t>"</w:t>
      </w:r>
      <w:r w:rsidR="00DB205E" w:rsidRPr="00110A53">
        <w:rPr>
          <w:rFonts w:ascii="Arial" w:hAnsi="Arial" w:hint="cs"/>
          <w:rtl/>
        </w:rPr>
        <w:t>.</w:t>
      </w:r>
    </w:p>
    <w:p w:rsidR="00A869F0" w:rsidRDefault="00A869F0" w:rsidP="00525D95">
      <w:pPr>
        <w:pStyle w:val="ad"/>
        <w:ind w:left="444"/>
        <w:jc w:val="both"/>
        <w:rPr>
          <w:rFonts w:ascii="Arial" w:hAnsi="Arial"/>
          <w:rtl/>
        </w:rPr>
      </w:pPr>
    </w:p>
    <w:p w:rsidR="007B4831" w:rsidRDefault="006B6DD7" w:rsidP="006B6DD7">
      <w:pPr>
        <w:pStyle w:val="ad"/>
        <w:numPr>
          <w:ilvl w:val="0"/>
          <w:numId w:val="1"/>
        </w:numPr>
        <w:spacing w:line="360" w:lineRule="auto"/>
        <w:jc w:val="both"/>
        <w:rPr>
          <w:rFonts w:ascii="Arial" w:hAnsi="Arial"/>
        </w:rPr>
      </w:pPr>
      <w:r>
        <w:rPr>
          <w:rFonts w:ascii="Arial" w:hAnsi="Arial" w:hint="cs"/>
          <w:rtl/>
        </w:rPr>
        <w:t xml:space="preserve">גם על החלטה זו הגישה </w:t>
      </w:r>
      <w:r w:rsidR="00A869F0">
        <w:rPr>
          <w:rFonts w:ascii="Arial" w:hAnsi="Arial" w:hint="cs"/>
          <w:rtl/>
        </w:rPr>
        <w:t xml:space="preserve">המבקשת הגישה בקשת רשות ערעור (רמ"ש 21191-03-23) </w:t>
      </w:r>
      <w:r w:rsidR="00A869F0" w:rsidRPr="00081715">
        <w:rPr>
          <w:rFonts w:ascii="Arial" w:hAnsi="Arial" w:hint="cs"/>
          <w:b/>
          <w:bCs/>
          <w:rtl/>
        </w:rPr>
        <w:t>וביום 10.3.23 ניתן פס</w:t>
      </w:r>
      <w:r w:rsidR="00081715">
        <w:rPr>
          <w:rFonts w:ascii="Arial" w:hAnsi="Arial" w:hint="cs"/>
          <w:b/>
          <w:bCs/>
          <w:rtl/>
        </w:rPr>
        <w:t>"ד</w:t>
      </w:r>
      <w:r w:rsidR="00A869F0" w:rsidRPr="00081715">
        <w:rPr>
          <w:rFonts w:ascii="Arial" w:hAnsi="Arial" w:hint="cs"/>
          <w:b/>
          <w:bCs/>
          <w:rtl/>
        </w:rPr>
        <w:t xml:space="preserve"> </w:t>
      </w:r>
      <w:r w:rsidR="00081715" w:rsidRPr="00081715">
        <w:rPr>
          <w:rFonts w:ascii="Arial" w:hAnsi="Arial" w:hint="cs"/>
          <w:b/>
          <w:bCs/>
          <w:rtl/>
        </w:rPr>
        <w:t xml:space="preserve">אשר דחה את הבקשה ללא שנדרשה תשובת המשיב </w:t>
      </w:r>
      <w:r w:rsidR="00081715">
        <w:rPr>
          <w:rFonts w:ascii="Arial" w:hAnsi="Arial"/>
          <w:rtl/>
        </w:rPr>
        <w:t>–</w:t>
      </w:r>
      <w:r w:rsidR="00081715">
        <w:rPr>
          <w:rFonts w:ascii="Arial" w:hAnsi="Arial" w:hint="cs"/>
          <w:rtl/>
        </w:rPr>
        <w:t xml:space="preserve"> </w:t>
      </w:r>
      <w:r w:rsidR="00AE0641">
        <w:rPr>
          <w:rFonts w:ascii="Arial" w:hAnsi="Arial" w:hint="cs"/>
          <w:rtl/>
        </w:rPr>
        <w:t xml:space="preserve">להלן: </w:t>
      </w:r>
      <w:r w:rsidR="00AE0641" w:rsidRPr="00081715">
        <w:rPr>
          <w:rFonts w:ascii="Arial" w:hAnsi="Arial" w:hint="cs"/>
          <w:u w:val="single"/>
          <w:rtl/>
        </w:rPr>
        <w:t>"פסה"ד הערעורי</w:t>
      </w:r>
      <w:r>
        <w:rPr>
          <w:rFonts w:ascii="Arial" w:hAnsi="Arial" w:hint="cs"/>
          <w:u w:val="single"/>
          <w:rtl/>
        </w:rPr>
        <w:t xml:space="preserve"> השני</w:t>
      </w:r>
      <w:r w:rsidR="00AE0641" w:rsidRPr="00081715">
        <w:rPr>
          <w:rFonts w:ascii="Arial" w:hAnsi="Arial" w:hint="cs"/>
          <w:u w:val="single"/>
          <w:rtl/>
        </w:rPr>
        <w:t>"</w:t>
      </w:r>
      <w:r w:rsidR="00AE0641">
        <w:rPr>
          <w:rFonts w:ascii="Arial" w:hAnsi="Arial" w:hint="cs"/>
          <w:rtl/>
        </w:rPr>
        <w:t>.</w:t>
      </w:r>
    </w:p>
    <w:p w:rsidR="00081715" w:rsidRPr="00081715" w:rsidRDefault="00DB205E" w:rsidP="00525D95">
      <w:pPr>
        <w:spacing w:line="360" w:lineRule="auto"/>
        <w:ind w:left="444"/>
        <w:jc w:val="both"/>
        <w:rPr>
          <w:rFonts w:ascii="Arial" w:hAnsi="Arial"/>
        </w:rPr>
      </w:pPr>
      <w:r w:rsidRPr="00AE0641">
        <w:rPr>
          <w:rFonts w:ascii="Arial" w:hAnsi="Arial" w:hint="cs"/>
          <w:u w:val="single"/>
          <w:rtl/>
        </w:rPr>
        <w:t>בכך הפ</w:t>
      </w:r>
      <w:r w:rsidR="00AE0641" w:rsidRPr="00AE0641">
        <w:rPr>
          <w:rFonts w:ascii="Arial" w:hAnsi="Arial" w:hint="cs"/>
          <w:u w:val="single"/>
          <w:rtl/>
        </w:rPr>
        <w:t xml:space="preserve">כה החלטת המזונות </w:t>
      </w:r>
      <w:r w:rsidR="006B6DD7">
        <w:rPr>
          <w:rFonts w:ascii="Arial" w:hAnsi="Arial" w:hint="cs"/>
          <w:u w:val="single"/>
          <w:rtl/>
        </w:rPr>
        <w:t xml:space="preserve">השנייה </w:t>
      </w:r>
      <w:r w:rsidR="00AE0641" w:rsidRPr="00AE0641">
        <w:rPr>
          <w:rFonts w:ascii="Arial" w:hAnsi="Arial" w:hint="cs"/>
          <w:u w:val="single"/>
          <w:rtl/>
        </w:rPr>
        <w:t>לחלוטה</w:t>
      </w:r>
      <w:r w:rsidR="00AE0641">
        <w:rPr>
          <w:rFonts w:ascii="Arial" w:hAnsi="Arial" w:hint="cs"/>
          <w:rtl/>
        </w:rPr>
        <w:t xml:space="preserve"> באופן זמני עד מתן פס"ד סופי בתיק. (אלא א"כ בימ"ש קמא היה רואה לנכון לשנות ההחלטה ככל שהיה מתבקש לכך והיה משתכנע ב</w:t>
      </w:r>
      <w:r w:rsidR="006B6DD7">
        <w:rPr>
          <w:rFonts w:ascii="Arial" w:hAnsi="Arial" w:hint="cs"/>
          <w:rtl/>
        </w:rPr>
        <w:t>צידקת</w:t>
      </w:r>
      <w:r w:rsidR="00AE0641">
        <w:rPr>
          <w:rFonts w:ascii="Arial" w:hAnsi="Arial" w:hint="cs"/>
          <w:rtl/>
        </w:rPr>
        <w:t xml:space="preserve"> המבוקש. בקשה שכזו לא הוגשה וממילא </w:t>
      </w:r>
      <w:r w:rsidR="006B6DD7">
        <w:rPr>
          <w:rFonts w:ascii="Arial" w:hAnsi="Arial" w:hint="cs"/>
          <w:rtl/>
        </w:rPr>
        <w:t>ה</w:t>
      </w:r>
      <w:r w:rsidR="00AE0641">
        <w:rPr>
          <w:rFonts w:ascii="Arial" w:hAnsi="Arial" w:hint="cs"/>
          <w:rtl/>
        </w:rPr>
        <w:t>החלטה לא שונתה).</w:t>
      </w:r>
    </w:p>
    <w:p w:rsidR="007B4831" w:rsidRPr="007B4831" w:rsidRDefault="007B4831" w:rsidP="00525D95">
      <w:pPr>
        <w:pStyle w:val="ad"/>
        <w:rPr>
          <w:rFonts w:ascii="Arial" w:hAnsi="Arial"/>
          <w:rtl/>
        </w:rPr>
      </w:pPr>
    </w:p>
    <w:p w:rsidR="00A869F0" w:rsidRDefault="007B4831" w:rsidP="00940277">
      <w:pPr>
        <w:pStyle w:val="ad"/>
        <w:numPr>
          <w:ilvl w:val="0"/>
          <w:numId w:val="1"/>
        </w:numPr>
        <w:spacing w:line="360" w:lineRule="auto"/>
        <w:jc w:val="both"/>
        <w:rPr>
          <w:rFonts w:ascii="Arial" w:hAnsi="Arial"/>
        </w:rPr>
      </w:pPr>
      <w:r>
        <w:rPr>
          <w:rFonts w:ascii="Arial" w:hAnsi="Arial" w:hint="cs"/>
          <w:rtl/>
        </w:rPr>
        <w:t xml:space="preserve">ביום 17.5.23 התקיים הליך </w:t>
      </w:r>
      <w:r w:rsidR="001B15F0">
        <w:rPr>
          <w:rFonts w:ascii="Arial" w:hAnsi="Arial" w:hint="cs"/>
          <w:rtl/>
        </w:rPr>
        <w:t>ה</w:t>
      </w:r>
      <w:r>
        <w:rPr>
          <w:rFonts w:ascii="Arial" w:hAnsi="Arial" w:hint="cs"/>
          <w:rtl/>
        </w:rPr>
        <w:t>הוכחות, אשר הסתיים באותו יום וניתן צו לסיכומים</w:t>
      </w:r>
      <w:r w:rsidR="001B15F0">
        <w:rPr>
          <w:rFonts w:ascii="Arial" w:hAnsi="Arial" w:hint="cs"/>
          <w:rtl/>
        </w:rPr>
        <w:t xml:space="preserve"> - </w:t>
      </w:r>
      <w:r>
        <w:rPr>
          <w:rFonts w:ascii="Arial" w:hAnsi="Arial" w:hint="cs"/>
          <w:rtl/>
        </w:rPr>
        <w:t xml:space="preserve">45 ימים לכל צד </w:t>
      </w:r>
      <w:r w:rsidR="00940277">
        <w:rPr>
          <w:rFonts w:ascii="Arial" w:hAnsi="Arial" w:hint="cs"/>
          <w:rtl/>
        </w:rPr>
        <w:t>ו-</w:t>
      </w:r>
      <w:r>
        <w:rPr>
          <w:rFonts w:ascii="Arial" w:hAnsi="Arial" w:hint="cs"/>
          <w:rtl/>
        </w:rPr>
        <w:t>15 ימים לסיכומי תשובה, סך הכל כ-3.5 חודשים, כאשר לאחר מכן אמור להינתן פסק דין</w:t>
      </w:r>
      <w:r w:rsidR="001B15F0">
        <w:rPr>
          <w:rFonts w:ascii="Arial" w:hAnsi="Arial" w:hint="cs"/>
          <w:rtl/>
        </w:rPr>
        <w:t xml:space="preserve"> סופי, אשר מן הסתם יחליף את החלטת המזונות הזמניים</w:t>
      </w:r>
      <w:r>
        <w:rPr>
          <w:rFonts w:ascii="Arial" w:hAnsi="Arial" w:hint="cs"/>
          <w:rtl/>
        </w:rPr>
        <w:t xml:space="preserve">. </w:t>
      </w:r>
    </w:p>
    <w:p w:rsidR="007B6056" w:rsidRDefault="007B6056" w:rsidP="00525D95">
      <w:pPr>
        <w:pStyle w:val="ad"/>
        <w:ind w:left="444"/>
        <w:jc w:val="both"/>
        <w:rPr>
          <w:rFonts w:ascii="Arial" w:hAnsi="Arial"/>
          <w:rtl/>
        </w:rPr>
      </w:pPr>
    </w:p>
    <w:p w:rsidR="008634BA" w:rsidRDefault="008634BA" w:rsidP="00525D95">
      <w:pPr>
        <w:pStyle w:val="ad"/>
        <w:ind w:left="444"/>
        <w:jc w:val="both"/>
        <w:rPr>
          <w:rFonts w:ascii="Arial" w:hAnsi="Arial"/>
          <w:rtl/>
        </w:rPr>
      </w:pPr>
    </w:p>
    <w:p w:rsidR="008634BA" w:rsidRDefault="008634BA" w:rsidP="00525D95">
      <w:pPr>
        <w:pStyle w:val="ad"/>
        <w:ind w:left="444"/>
        <w:jc w:val="both"/>
        <w:rPr>
          <w:rFonts w:ascii="Arial" w:hAnsi="Arial"/>
          <w:rtl/>
        </w:rPr>
      </w:pPr>
    </w:p>
    <w:p w:rsidR="008634BA" w:rsidRDefault="008634BA" w:rsidP="00525D95">
      <w:pPr>
        <w:pStyle w:val="ad"/>
        <w:ind w:left="444"/>
        <w:jc w:val="both"/>
        <w:rPr>
          <w:rFonts w:ascii="Arial" w:hAnsi="Arial"/>
          <w:rtl/>
        </w:rPr>
      </w:pPr>
    </w:p>
    <w:p w:rsidR="008634BA" w:rsidRDefault="008634BA" w:rsidP="00525D95">
      <w:pPr>
        <w:pStyle w:val="ad"/>
        <w:ind w:left="444"/>
        <w:jc w:val="both"/>
        <w:rPr>
          <w:rFonts w:ascii="Arial" w:hAnsi="Arial"/>
          <w:rtl/>
        </w:rPr>
      </w:pPr>
    </w:p>
    <w:p w:rsidR="001B15F0" w:rsidRDefault="007B4831" w:rsidP="007B6056">
      <w:pPr>
        <w:pStyle w:val="ad"/>
        <w:numPr>
          <w:ilvl w:val="0"/>
          <w:numId w:val="1"/>
        </w:numPr>
        <w:spacing w:line="360" w:lineRule="auto"/>
        <w:jc w:val="both"/>
        <w:rPr>
          <w:rFonts w:ascii="Arial" w:hAnsi="Arial"/>
        </w:rPr>
      </w:pPr>
      <w:r>
        <w:rPr>
          <w:rFonts w:ascii="Arial" w:hAnsi="Arial" w:hint="cs"/>
          <w:rtl/>
        </w:rPr>
        <w:lastRenderedPageBreak/>
        <w:t>ארבעה ימים לאחר מועד ההוכחות</w:t>
      </w:r>
      <w:r w:rsidR="007B6056">
        <w:rPr>
          <w:rFonts w:ascii="Arial" w:hAnsi="Arial" w:hint="cs"/>
          <w:rtl/>
        </w:rPr>
        <w:t>,</w:t>
      </w:r>
      <w:r>
        <w:rPr>
          <w:rFonts w:ascii="Arial" w:hAnsi="Arial" w:hint="cs"/>
          <w:rtl/>
        </w:rPr>
        <w:t xml:space="preserve"> הגישה המבקשת בקשה </w:t>
      </w:r>
      <w:r w:rsidR="001B15F0">
        <w:rPr>
          <w:rFonts w:ascii="Arial" w:hAnsi="Arial" w:hint="cs"/>
          <w:rtl/>
        </w:rPr>
        <w:t>לבימ"ש קמא, שכותרתה הייתה:</w:t>
      </w:r>
    </w:p>
    <w:p w:rsidR="001B15F0" w:rsidRDefault="00783272" w:rsidP="001B15F0">
      <w:pPr>
        <w:spacing w:line="360" w:lineRule="auto"/>
        <w:jc w:val="both"/>
        <w:rPr>
          <w:rFonts w:ascii="Arial" w:hAnsi="Arial"/>
          <w:rtl/>
        </w:rPr>
      </w:pPr>
      <w:r w:rsidRPr="001B15F0">
        <w:rPr>
          <w:rFonts w:ascii="Arial" w:hAnsi="Arial"/>
          <w:rtl/>
        </w:rPr>
        <w:drawing>
          <wp:anchor distT="0" distB="0" distL="114300" distR="114300" simplePos="0" relativeHeight="251659264" behindDoc="0" locked="0" layoutInCell="1" allowOverlap="1">
            <wp:simplePos x="0" y="0"/>
            <wp:positionH relativeFrom="column">
              <wp:posOffset>771525</wp:posOffset>
            </wp:positionH>
            <wp:positionV relativeFrom="paragraph">
              <wp:posOffset>20955</wp:posOffset>
            </wp:positionV>
            <wp:extent cx="3369945" cy="675005"/>
            <wp:effectExtent l="0" t="0" r="1905" b="0"/>
            <wp:wrapNone/>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3369945" cy="675005"/>
                    </a:xfrm>
                    <a:prstGeom prst="rect">
                      <a:avLst/>
                    </a:prstGeom>
                  </pic:spPr>
                </pic:pic>
              </a:graphicData>
            </a:graphic>
            <wp14:sizeRelH relativeFrom="page">
              <wp14:pctWidth>0</wp14:pctWidth>
            </wp14:sizeRelH>
            <wp14:sizeRelV relativeFrom="page">
              <wp14:pctHeight>0</wp14:pctHeight>
            </wp14:sizeRelV>
          </wp:anchor>
        </w:drawing>
      </w:r>
    </w:p>
    <w:p w:rsidR="00940277" w:rsidRDefault="00940277" w:rsidP="007B6056">
      <w:pPr>
        <w:spacing w:line="360" w:lineRule="auto"/>
        <w:ind w:left="444"/>
        <w:jc w:val="both"/>
        <w:rPr>
          <w:rFonts w:ascii="Arial" w:hAnsi="Arial"/>
          <w:rtl/>
        </w:rPr>
      </w:pPr>
    </w:p>
    <w:p w:rsidR="00940277" w:rsidRDefault="00940277" w:rsidP="007B6056">
      <w:pPr>
        <w:spacing w:line="360" w:lineRule="auto"/>
        <w:ind w:left="444"/>
        <w:jc w:val="both"/>
        <w:rPr>
          <w:rFonts w:ascii="Arial" w:hAnsi="Arial"/>
          <w:rtl/>
        </w:rPr>
      </w:pPr>
    </w:p>
    <w:p w:rsidR="00783272" w:rsidRDefault="001B15F0" w:rsidP="007B6056">
      <w:pPr>
        <w:spacing w:line="360" w:lineRule="auto"/>
        <w:ind w:left="444"/>
        <w:jc w:val="both"/>
        <w:rPr>
          <w:rFonts w:ascii="Arial" w:hAnsi="Arial"/>
          <w:rtl/>
        </w:rPr>
      </w:pPr>
      <w:r>
        <w:rPr>
          <w:rFonts w:ascii="Arial" w:hAnsi="Arial" w:hint="cs"/>
          <w:rtl/>
        </w:rPr>
        <w:t xml:space="preserve">הבקשה כללה אך ורק </w:t>
      </w:r>
      <w:r w:rsidRPr="001B15F0">
        <w:rPr>
          <w:rFonts w:ascii="Arial" w:hAnsi="Arial" w:hint="cs"/>
          <w:u w:val="single"/>
          <w:rtl/>
        </w:rPr>
        <w:t>טענות משפטיות</w:t>
      </w:r>
      <w:r>
        <w:rPr>
          <w:rFonts w:ascii="Arial" w:hAnsi="Arial" w:hint="cs"/>
          <w:rtl/>
        </w:rPr>
        <w:t xml:space="preserve">, אשר עיקרן היה, שהחלטת המזונות הזמניים </w:t>
      </w:r>
      <w:r w:rsidR="007B6056">
        <w:rPr>
          <w:rFonts w:ascii="Arial" w:hAnsi="Arial" w:hint="cs"/>
          <w:rtl/>
        </w:rPr>
        <w:t xml:space="preserve">השנייה </w:t>
      </w:r>
      <w:r w:rsidR="007B4831">
        <w:rPr>
          <w:rFonts w:ascii="Arial" w:hAnsi="Arial" w:hint="cs"/>
          <w:rtl/>
        </w:rPr>
        <w:t>נוגדת החלטות קודמות</w:t>
      </w:r>
      <w:r w:rsidR="007B6056">
        <w:rPr>
          <w:rFonts w:ascii="Arial" w:hAnsi="Arial" w:hint="cs"/>
          <w:rtl/>
        </w:rPr>
        <w:t xml:space="preserve"> ואת פסה"ד הערעורי הראשון</w:t>
      </w:r>
      <w:r w:rsidR="00783272">
        <w:rPr>
          <w:rFonts w:ascii="Arial" w:hAnsi="Arial" w:hint="cs"/>
          <w:rtl/>
        </w:rPr>
        <w:t xml:space="preserve"> ולכן מבוקש לעכב את הליכי הגבייה של החלטת המזונות</w:t>
      </w:r>
      <w:r w:rsidR="007B6056">
        <w:rPr>
          <w:rFonts w:ascii="Arial" w:hAnsi="Arial" w:hint="cs"/>
          <w:rtl/>
        </w:rPr>
        <w:t xml:space="preserve"> השנייה</w:t>
      </w:r>
      <w:r w:rsidR="00783272">
        <w:rPr>
          <w:rFonts w:ascii="Arial" w:hAnsi="Arial" w:hint="cs"/>
          <w:rtl/>
        </w:rPr>
        <w:t>.</w:t>
      </w:r>
    </w:p>
    <w:p w:rsidR="00CB0DC2" w:rsidRDefault="007B6056" w:rsidP="008151E2">
      <w:pPr>
        <w:spacing w:line="360" w:lineRule="auto"/>
        <w:ind w:left="444"/>
        <w:jc w:val="both"/>
        <w:rPr>
          <w:rFonts w:ascii="Arial" w:hAnsi="Arial"/>
          <w:rtl/>
        </w:rPr>
      </w:pPr>
      <w:r>
        <w:rPr>
          <w:rFonts w:ascii="Arial" w:hAnsi="Arial" w:hint="cs"/>
          <w:rtl/>
        </w:rPr>
        <w:t xml:space="preserve">ודוק: </w:t>
      </w:r>
      <w:r w:rsidR="00783272">
        <w:rPr>
          <w:rFonts w:ascii="Arial" w:hAnsi="Arial" w:hint="cs"/>
          <w:rtl/>
        </w:rPr>
        <w:t xml:space="preserve">מעבר לכך שהמבקשת לא ביקשה בבקשתה מבימ"ש קמא </w:t>
      </w:r>
      <w:r w:rsidR="00783272" w:rsidRPr="00783272">
        <w:rPr>
          <w:rFonts w:ascii="Arial" w:hAnsi="Arial" w:hint="cs"/>
          <w:u w:val="single"/>
          <w:rtl/>
        </w:rPr>
        <w:t>לבטל</w:t>
      </w:r>
      <w:r w:rsidR="00783272">
        <w:rPr>
          <w:rFonts w:ascii="Arial" w:hAnsi="Arial" w:hint="cs"/>
          <w:rtl/>
        </w:rPr>
        <w:t xml:space="preserve"> את החלטת המזונות </w:t>
      </w:r>
      <w:r>
        <w:rPr>
          <w:rFonts w:ascii="Arial" w:hAnsi="Arial" w:hint="cs"/>
          <w:rtl/>
        </w:rPr>
        <w:t>השנייה</w:t>
      </w:r>
      <w:r w:rsidR="00783272">
        <w:rPr>
          <w:rFonts w:ascii="Arial" w:hAnsi="Arial" w:hint="cs"/>
          <w:rtl/>
        </w:rPr>
        <w:t xml:space="preserve"> אלא רק </w:t>
      </w:r>
      <w:r w:rsidR="00783272" w:rsidRPr="00783272">
        <w:rPr>
          <w:rFonts w:ascii="Arial" w:hAnsi="Arial" w:hint="cs"/>
          <w:u w:val="single"/>
          <w:rtl/>
        </w:rPr>
        <w:t>לעכב את הליכי הגב</w:t>
      </w:r>
      <w:r w:rsidR="00783272">
        <w:rPr>
          <w:rFonts w:ascii="Arial" w:hAnsi="Arial" w:hint="cs"/>
          <w:u w:val="single"/>
          <w:rtl/>
        </w:rPr>
        <w:t>י</w:t>
      </w:r>
      <w:r w:rsidR="00783272" w:rsidRPr="00783272">
        <w:rPr>
          <w:rFonts w:ascii="Arial" w:hAnsi="Arial" w:hint="cs"/>
          <w:u w:val="single"/>
          <w:rtl/>
        </w:rPr>
        <w:t>יה</w:t>
      </w:r>
      <w:r w:rsidR="00783272">
        <w:rPr>
          <w:rFonts w:ascii="Arial" w:hAnsi="Arial" w:hint="cs"/>
          <w:rtl/>
        </w:rPr>
        <w:t xml:space="preserve">, כל ההחלטות הקודמות </w:t>
      </w:r>
      <w:r w:rsidR="00525D95">
        <w:rPr>
          <w:rFonts w:ascii="Arial" w:hAnsi="Arial" w:hint="cs"/>
          <w:rtl/>
        </w:rPr>
        <w:t xml:space="preserve">ופסה"ד הערעורי הראשון </w:t>
      </w:r>
      <w:r w:rsidR="00783272">
        <w:rPr>
          <w:rFonts w:ascii="Arial" w:hAnsi="Arial" w:hint="cs"/>
          <w:rtl/>
        </w:rPr>
        <w:t xml:space="preserve"> </w:t>
      </w:r>
      <w:r w:rsidR="00525D95">
        <w:rPr>
          <w:rFonts w:ascii="Arial" w:hAnsi="Arial" w:hint="cs"/>
          <w:rtl/>
        </w:rPr>
        <w:t xml:space="preserve">אליהם </w:t>
      </w:r>
      <w:r w:rsidR="00783272">
        <w:rPr>
          <w:rFonts w:ascii="Arial" w:hAnsi="Arial" w:hint="cs"/>
          <w:rtl/>
        </w:rPr>
        <w:t xml:space="preserve">הפנתה </w:t>
      </w:r>
      <w:r w:rsidR="00525D95">
        <w:rPr>
          <w:rFonts w:ascii="Arial" w:hAnsi="Arial" w:hint="cs"/>
          <w:rtl/>
        </w:rPr>
        <w:t>המבקשת,</w:t>
      </w:r>
      <w:r w:rsidR="00783272">
        <w:rPr>
          <w:rFonts w:ascii="Arial" w:hAnsi="Arial" w:hint="cs"/>
          <w:rtl/>
        </w:rPr>
        <w:t xml:space="preserve"> </w:t>
      </w:r>
      <w:r w:rsidR="00525D95">
        <w:rPr>
          <w:rFonts w:ascii="Arial" w:hAnsi="Arial" w:hint="cs"/>
          <w:b/>
          <w:bCs/>
          <w:u w:val="single"/>
          <w:rtl/>
        </w:rPr>
        <w:t xml:space="preserve">ניתנו </w:t>
      </w:r>
      <w:r w:rsidR="001B15F0" w:rsidRPr="00CB0DC2">
        <w:rPr>
          <w:rFonts w:ascii="Arial" w:hAnsi="Arial" w:hint="cs"/>
          <w:b/>
          <w:bCs/>
          <w:u w:val="double"/>
          <w:rtl/>
        </w:rPr>
        <w:t>לפני</w:t>
      </w:r>
      <w:r w:rsidR="001B15F0" w:rsidRPr="00CB0DC2">
        <w:rPr>
          <w:rFonts w:ascii="Arial" w:hAnsi="Arial" w:hint="cs"/>
          <w:b/>
          <w:bCs/>
          <w:u w:val="single"/>
          <w:rtl/>
        </w:rPr>
        <w:t xml:space="preserve"> ההחל</w:t>
      </w:r>
      <w:r w:rsidR="00CB0DC2" w:rsidRPr="00CB0DC2">
        <w:rPr>
          <w:rFonts w:ascii="Arial" w:hAnsi="Arial" w:hint="cs"/>
          <w:b/>
          <w:bCs/>
          <w:u w:val="single"/>
          <w:rtl/>
        </w:rPr>
        <w:t xml:space="preserve">טת המזונות </w:t>
      </w:r>
      <w:r w:rsidR="00525D95">
        <w:rPr>
          <w:rFonts w:ascii="Arial" w:hAnsi="Arial" w:hint="cs"/>
          <w:b/>
          <w:bCs/>
          <w:u w:val="single"/>
          <w:rtl/>
        </w:rPr>
        <w:t>השנייה</w:t>
      </w:r>
      <w:r w:rsidR="00CB0DC2" w:rsidRPr="00CB0DC2">
        <w:rPr>
          <w:rFonts w:ascii="Arial" w:hAnsi="Arial" w:hint="cs"/>
          <w:b/>
          <w:bCs/>
          <w:u w:val="single"/>
          <w:rtl/>
        </w:rPr>
        <w:t xml:space="preserve"> ו</w:t>
      </w:r>
      <w:r w:rsidR="00CB0DC2" w:rsidRPr="00CB0DC2">
        <w:rPr>
          <w:rFonts w:ascii="Arial" w:hAnsi="Arial" w:hint="cs"/>
          <w:b/>
          <w:bCs/>
          <w:u w:val="double"/>
          <w:rtl/>
        </w:rPr>
        <w:t>לפני</w:t>
      </w:r>
      <w:r w:rsidR="00CB0DC2" w:rsidRPr="00CB0DC2">
        <w:rPr>
          <w:rFonts w:ascii="Arial" w:hAnsi="Arial" w:hint="cs"/>
          <w:b/>
          <w:bCs/>
          <w:u w:val="single"/>
          <w:rtl/>
        </w:rPr>
        <w:t xml:space="preserve"> פסה"ד הערעורי </w:t>
      </w:r>
      <w:r w:rsidR="00525D95">
        <w:rPr>
          <w:rFonts w:ascii="Arial" w:hAnsi="Arial" w:hint="cs"/>
          <w:b/>
          <w:bCs/>
          <w:u w:val="single"/>
          <w:rtl/>
        </w:rPr>
        <w:t xml:space="preserve">השני </w:t>
      </w:r>
      <w:r w:rsidR="00CB0DC2" w:rsidRPr="00CB0DC2">
        <w:rPr>
          <w:rFonts w:ascii="Arial" w:hAnsi="Arial" w:hint="cs"/>
          <w:b/>
          <w:bCs/>
          <w:u w:val="single"/>
          <w:rtl/>
        </w:rPr>
        <w:t>אשר</w:t>
      </w:r>
      <w:r w:rsidR="00CB0DC2">
        <w:rPr>
          <w:rFonts w:ascii="Arial" w:hAnsi="Arial" w:hint="cs"/>
          <w:b/>
          <w:bCs/>
          <w:u w:val="single"/>
          <w:rtl/>
        </w:rPr>
        <w:t xml:space="preserve"> </w:t>
      </w:r>
      <w:r w:rsidR="00CB0DC2" w:rsidRPr="003239FC">
        <w:rPr>
          <w:rFonts w:ascii="Arial" w:hAnsi="Arial" w:hint="cs"/>
          <w:b/>
          <w:bCs/>
          <w:u w:val="double"/>
          <w:rtl/>
        </w:rPr>
        <w:t>אישר</w:t>
      </w:r>
      <w:r w:rsidR="00CB0DC2" w:rsidRPr="00CB0DC2">
        <w:rPr>
          <w:rFonts w:ascii="Arial" w:hAnsi="Arial" w:hint="cs"/>
          <w:b/>
          <w:bCs/>
          <w:u w:val="single"/>
          <w:rtl/>
        </w:rPr>
        <w:t xml:space="preserve"> את החלטת המזונות </w:t>
      </w:r>
      <w:r w:rsidR="00525D95">
        <w:rPr>
          <w:rFonts w:ascii="Arial" w:hAnsi="Arial" w:hint="cs"/>
          <w:b/>
          <w:bCs/>
          <w:u w:val="single"/>
          <w:rtl/>
        </w:rPr>
        <w:t>השנייה</w:t>
      </w:r>
      <w:r w:rsidR="003239FC">
        <w:rPr>
          <w:rFonts w:ascii="Arial" w:hAnsi="Arial" w:hint="cs"/>
          <w:rtl/>
        </w:rPr>
        <w:t xml:space="preserve">! </w:t>
      </w:r>
      <w:r w:rsidR="00783272">
        <w:rPr>
          <w:rFonts w:ascii="Arial" w:hAnsi="Arial" w:hint="cs"/>
          <w:rtl/>
        </w:rPr>
        <w:t>מה הרלוונטיות של אלו כאשר לאחר</w:t>
      </w:r>
      <w:r w:rsidR="008151E2">
        <w:rPr>
          <w:rFonts w:ascii="Arial" w:hAnsi="Arial" w:hint="cs"/>
          <w:rtl/>
        </w:rPr>
        <w:t>יהם כבר קיימת</w:t>
      </w:r>
      <w:r w:rsidR="00783272">
        <w:rPr>
          <w:rFonts w:ascii="Arial" w:hAnsi="Arial" w:hint="cs"/>
          <w:rtl/>
        </w:rPr>
        <w:t xml:space="preserve"> החלטת שיפוטית עדכנית (החלטת המזונות </w:t>
      </w:r>
      <w:r w:rsidR="00525D95">
        <w:rPr>
          <w:rFonts w:ascii="Arial" w:hAnsi="Arial" w:hint="cs"/>
          <w:rtl/>
        </w:rPr>
        <w:t>השנייה</w:t>
      </w:r>
      <w:r w:rsidR="00783272">
        <w:rPr>
          <w:rFonts w:ascii="Arial" w:hAnsi="Arial" w:hint="cs"/>
          <w:rtl/>
        </w:rPr>
        <w:t>) אשר אושרה כדת וכדין ע"י ערכאת הערעור (פסה"ד הערעורי</w:t>
      </w:r>
      <w:r w:rsidR="00525D95">
        <w:rPr>
          <w:rFonts w:ascii="Arial" w:hAnsi="Arial" w:hint="cs"/>
          <w:rtl/>
        </w:rPr>
        <w:t xml:space="preserve"> השני</w:t>
      </w:r>
      <w:r w:rsidR="00783272">
        <w:rPr>
          <w:rFonts w:ascii="Arial" w:hAnsi="Arial" w:hint="cs"/>
          <w:rtl/>
        </w:rPr>
        <w:t>)</w:t>
      </w:r>
      <w:r w:rsidR="008151E2">
        <w:rPr>
          <w:rFonts w:ascii="Arial" w:hAnsi="Arial" w:hint="cs"/>
          <w:rtl/>
        </w:rPr>
        <w:t>?</w:t>
      </w:r>
      <w:r w:rsidR="00783272">
        <w:rPr>
          <w:rFonts w:ascii="Arial" w:hAnsi="Arial" w:hint="cs"/>
          <w:rtl/>
        </w:rPr>
        <w:t xml:space="preserve"> </w:t>
      </w:r>
      <w:r w:rsidR="00783272">
        <w:rPr>
          <w:rFonts w:ascii="Arial" w:hAnsi="Arial"/>
          <w:rtl/>
        </w:rPr>
        <w:t>–</w:t>
      </w:r>
      <w:r w:rsidR="00783272">
        <w:rPr>
          <w:rFonts w:ascii="Arial" w:hAnsi="Arial" w:hint="cs"/>
          <w:rtl/>
        </w:rPr>
        <w:t xml:space="preserve"> ל</w:t>
      </w:r>
      <w:r w:rsidR="00525D95">
        <w:rPr>
          <w:rFonts w:ascii="Arial" w:hAnsi="Arial" w:hint="cs"/>
          <w:rtl/>
        </w:rPr>
        <w:t>מבקשת</w:t>
      </w:r>
      <w:r w:rsidR="00783272">
        <w:rPr>
          <w:rFonts w:ascii="Arial" w:hAnsi="Arial" w:hint="cs"/>
          <w:rtl/>
        </w:rPr>
        <w:t xml:space="preserve"> הפתרונים....</w:t>
      </w:r>
    </w:p>
    <w:p w:rsidR="008414B8" w:rsidRDefault="008414B8" w:rsidP="00CB0DC2">
      <w:pPr>
        <w:spacing w:line="360" w:lineRule="auto"/>
        <w:ind w:left="444"/>
        <w:jc w:val="both"/>
        <w:rPr>
          <w:rFonts w:ascii="Arial" w:hAnsi="Arial"/>
          <w:rtl/>
        </w:rPr>
      </w:pPr>
      <w:r>
        <w:rPr>
          <w:rFonts w:ascii="Arial" w:hAnsi="Arial" w:hint="cs"/>
          <w:rtl/>
        </w:rPr>
        <w:t xml:space="preserve"> </w:t>
      </w:r>
    </w:p>
    <w:p w:rsidR="008414B8" w:rsidRDefault="003239FC" w:rsidP="008414B8">
      <w:pPr>
        <w:pStyle w:val="ad"/>
        <w:numPr>
          <w:ilvl w:val="0"/>
          <w:numId w:val="1"/>
        </w:numPr>
        <w:spacing w:line="360" w:lineRule="auto"/>
        <w:jc w:val="both"/>
        <w:rPr>
          <w:rFonts w:ascii="Arial" w:hAnsi="Arial"/>
        </w:rPr>
      </w:pPr>
      <w:r>
        <w:rPr>
          <w:rFonts w:ascii="Arial" w:hAnsi="Arial" w:hint="cs"/>
          <w:rtl/>
        </w:rPr>
        <w:t xml:space="preserve">כך או כך, </w:t>
      </w:r>
      <w:r w:rsidR="008414B8" w:rsidRPr="008414B8">
        <w:rPr>
          <w:rFonts w:ascii="Arial" w:hAnsi="Arial" w:hint="cs"/>
          <w:rtl/>
        </w:rPr>
        <w:t>בהחלטתו מושא הערעור מיום 6.6.23 דחה בית  משפט קמא את בקשת המבקשת.</w:t>
      </w:r>
    </w:p>
    <w:p w:rsidR="008414B8" w:rsidRPr="008414B8" w:rsidRDefault="008414B8" w:rsidP="008414B8">
      <w:pPr>
        <w:pStyle w:val="ad"/>
        <w:rPr>
          <w:rFonts w:ascii="Arial" w:hAnsi="Arial"/>
          <w:rtl/>
        </w:rPr>
      </w:pPr>
    </w:p>
    <w:p w:rsidR="00CC2AE6" w:rsidRDefault="003239FC" w:rsidP="006F30F7">
      <w:pPr>
        <w:pStyle w:val="ad"/>
        <w:numPr>
          <w:ilvl w:val="0"/>
          <w:numId w:val="1"/>
        </w:numPr>
        <w:spacing w:line="360" w:lineRule="auto"/>
        <w:jc w:val="both"/>
        <w:rPr>
          <w:rFonts w:ascii="Arial" w:hAnsi="Arial"/>
        </w:rPr>
      </w:pPr>
      <w:r>
        <w:rPr>
          <w:rFonts w:ascii="Arial" w:hAnsi="Arial" w:hint="cs"/>
          <w:rtl/>
        </w:rPr>
        <w:t xml:space="preserve">והנה המבקשת מגישה בקשת רשות ערעור </w:t>
      </w:r>
      <w:r w:rsidR="006F30F7">
        <w:rPr>
          <w:rFonts w:ascii="Arial" w:hAnsi="Arial" w:hint="cs"/>
          <w:rtl/>
        </w:rPr>
        <w:t xml:space="preserve">זו </w:t>
      </w:r>
      <w:r>
        <w:rPr>
          <w:rFonts w:ascii="Arial" w:hAnsi="Arial" w:hint="cs"/>
          <w:rtl/>
        </w:rPr>
        <w:t xml:space="preserve">על החלטת הדחייה, כאשר </w:t>
      </w:r>
      <w:r w:rsidR="008414B8">
        <w:rPr>
          <w:rFonts w:ascii="Arial" w:hAnsi="Arial" w:hint="cs"/>
          <w:rtl/>
        </w:rPr>
        <w:t xml:space="preserve">המבקשת בערעורה לא מצביעה על כל </w:t>
      </w:r>
      <w:r w:rsidR="008414B8" w:rsidRPr="00CB0DC2">
        <w:rPr>
          <w:rFonts w:ascii="Arial" w:hAnsi="Arial" w:hint="cs"/>
          <w:u w:val="single"/>
          <w:rtl/>
        </w:rPr>
        <w:t>טעות משפטית</w:t>
      </w:r>
      <w:r w:rsidR="008414B8">
        <w:rPr>
          <w:rFonts w:ascii="Arial" w:hAnsi="Arial" w:hint="cs"/>
          <w:rtl/>
        </w:rPr>
        <w:t xml:space="preserve"> בהחלטתו של בית משפט קמא</w:t>
      </w:r>
      <w:r>
        <w:rPr>
          <w:rFonts w:ascii="Arial" w:hAnsi="Arial" w:hint="cs"/>
          <w:rtl/>
        </w:rPr>
        <w:t>;</w:t>
      </w:r>
      <w:r w:rsidR="008414B8">
        <w:rPr>
          <w:rFonts w:ascii="Arial" w:hAnsi="Arial" w:hint="cs"/>
          <w:rtl/>
        </w:rPr>
        <w:t xml:space="preserve"> ולא </w:t>
      </w:r>
      <w:r w:rsidR="00CB0DC2">
        <w:rPr>
          <w:rFonts w:ascii="Arial" w:hAnsi="Arial" w:hint="cs"/>
          <w:rtl/>
        </w:rPr>
        <w:t xml:space="preserve">זו אף זו אלא שבבקשתה הינה טוענת </w:t>
      </w:r>
      <w:r>
        <w:rPr>
          <w:rFonts w:ascii="Arial" w:hAnsi="Arial" w:hint="cs"/>
          <w:rtl/>
        </w:rPr>
        <w:t>ל</w:t>
      </w:r>
      <w:r w:rsidR="00CB0DC2">
        <w:rPr>
          <w:rFonts w:ascii="Arial" w:hAnsi="Arial" w:hint="cs"/>
          <w:rtl/>
        </w:rPr>
        <w:t xml:space="preserve">כל מיני </w:t>
      </w:r>
      <w:r w:rsidR="00CC2AE6">
        <w:rPr>
          <w:rFonts w:ascii="Arial" w:hAnsi="Arial" w:hint="cs"/>
          <w:rtl/>
        </w:rPr>
        <w:t xml:space="preserve">טענות </w:t>
      </w:r>
      <w:r w:rsidR="00CC2AE6" w:rsidRPr="00CB0DC2">
        <w:rPr>
          <w:rFonts w:ascii="Arial" w:hAnsi="Arial" w:hint="cs"/>
          <w:u w:val="single"/>
          <w:rtl/>
        </w:rPr>
        <w:t>עובדתיות</w:t>
      </w:r>
      <w:r w:rsidR="00CC2AE6">
        <w:rPr>
          <w:rFonts w:ascii="Arial" w:hAnsi="Arial" w:hint="cs"/>
          <w:rtl/>
        </w:rPr>
        <w:t xml:space="preserve"> </w:t>
      </w:r>
      <w:r>
        <w:rPr>
          <w:rFonts w:ascii="Arial" w:hAnsi="Arial" w:hint="cs"/>
          <w:rtl/>
        </w:rPr>
        <w:t xml:space="preserve">- טענות העוסקות במצבה הכלכלי, ביחסים בינה לבין המשיב, עובדות הקשורות לקטינים </w:t>
      </w:r>
      <w:r>
        <w:rPr>
          <w:rFonts w:ascii="Arial" w:hAnsi="Arial"/>
          <w:rtl/>
        </w:rPr>
        <w:t>–</w:t>
      </w:r>
      <w:r>
        <w:rPr>
          <w:rFonts w:ascii="Arial" w:hAnsi="Arial" w:hint="cs"/>
          <w:rtl/>
        </w:rPr>
        <w:t xml:space="preserve"> </w:t>
      </w:r>
      <w:r>
        <w:rPr>
          <w:rFonts w:ascii="Arial" w:hAnsi="Arial" w:hint="cs"/>
          <w:b/>
          <w:bCs/>
          <w:rtl/>
        </w:rPr>
        <w:t xml:space="preserve">טענות </w:t>
      </w:r>
      <w:r w:rsidR="00CC2AE6" w:rsidRPr="00CB0DC2">
        <w:rPr>
          <w:rFonts w:ascii="Arial" w:hAnsi="Arial" w:hint="cs"/>
          <w:b/>
          <w:bCs/>
          <w:rtl/>
        </w:rPr>
        <w:t>שלא בא ז</w:t>
      </w:r>
      <w:r w:rsidR="008414B8" w:rsidRPr="00CB0DC2">
        <w:rPr>
          <w:rFonts w:ascii="Arial" w:hAnsi="Arial" w:hint="cs"/>
          <w:b/>
          <w:bCs/>
          <w:rtl/>
        </w:rPr>
        <w:t xml:space="preserve">כרן </w:t>
      </w:r>
      <w:r w:rsidR="00CB0DC2" w:rsidRPr="00CB0DC2">
        <w:rPr>
          <w:rFonts w:ascii="Arial" w:hAnsi="Arial" w:hint="cs"/>
          <w:b/>
          <w:bCs/>
          <w:rtl/>
        </w:rPr>
        <w:t>בבקשה המקורית לבימ"ש קמא</w:t>
      </w:r>
      <w:r>
        <w:rPr>
          <w:rFonts w:ascii="Arial" w:hAnsi="Arial" w:hint="cs"/>
          <w:b/>
          <w:bCs/>
          <w:rtl/>
        </w:rPr>
        <w:t>!</w:t>
      </w:r>
      <w:r w:rsidR="00CB0DC2" w:rsidRPr="00CB0DC2">
        <w:rPr>
          <w:rFonts w:ascii="Arial" w:hAnsi="Arial" w:hint="cs"/>
          <w:b/>
          <w:bCs/>
          <w:rtl/>
        </w:rPr>
        <w:t xml:space="preserve"> </w:t>
      </w:r>
      <w:r>
        <w:rPr>
          <w:rFonts w:ascii="Arial" w:hAnsi="Arial" w:hint="cs"/>
          <w:b/>
          <w:bCs/>
          <w:rtl/>
        </w:rPr>
        <w:t xml:space="preserve">ומנגד, </w:t>
      </w:r>
      <w:r w:rsidR="00525D95">
        <w:rPr>
          <w:rFonts w:ascii="Arial" w:hAnsi="Arial" w:hint="cs"/>
          <w:b/>
          <w:bCs/>
          <w:rtl/>
        </w:rPr>
        <w:t xml:space="preserve">אין ולו טענה אחת </w:t>
      </w:r>
      <w:r w:rsidR="008414B8" w:rsidRPr="00CB0DC2">
        <w:rPr>
          <w:rFonts w:ascii="Arial" w:hAnsi="Arial" w:hint="cs"/>
          <w:b/>
          <w:bCs/>
          <w:rtl/>
        </w:rPr>
        <w:t>המ</w:t>
      </w:r>
      <w:r>
        <w:rPr>
          <w:rFonts w:ascii="Arial" w:hAnsi="Arial" w:hint="cs"/>
          <w:b/>
          <w:bCs/>
          <w:rtl/>
        </w:rPr>
        <w:t xml:space="preserve">צביעה </w:t>
      </w:r>
      <w:r w:rsidRPr="003239FC">
        <w:rPr>
          <w:rFonts w:ascii="Arial" w:hAnsi="Arial" w:hint="cs"/>
          <w:b/>
          <w:bCs/>
          <w:u w:val="single"/>
          <w:rtl/>
        </w:rPr>
        <w:t>היכן ובמה שגה</w:t>
      </w:r>
      <w:r>
        <w:rPr>
          <w:rFonts w:ascii="Arial" w:hAnsi="Arial" w:hint="cs"/>
          <w:b/>
          <w:bCs/>
          <w:rtl/>
        </w:rPr>
        <w:t xml:space="preserve"> בימ"ש קמא בהחלטתו</w:t>
      </w:r>
      <w:r w:rsidR="00CB0DC2">
        <w:rPr>
          <w:rFonts w:ascii="Arial" w:hAnsi="Arial" w:hint="cs"/>
          <w:b/>
          <w:bCs/>
          <w:rtl/>
        </w:rPr>
        <w:t>.</w:t>
      </w:r>
      <w:r w:rsidR="005906B3">
        <w:rPr>
          <w:rFonts w:ascii="Arial" w:hAnsi="Arial" w:hint="cs"/>
          <w:rtl/>
        </w:rPr>
        <w:t xml:space="preserve"> </w:t>
      </w:r>
    </w:p>
    <w:p w:rsidR="007D5192" w:rsidRPr="007D5192" w:rsidRDefault="005906B3" w:rsidP="006F30F7">
      <w:pPr>
        <w:pStyle w:val="ad"/>
        <w:spacing w:line="360" w:lineRule="auto"/>
        <w:ind w:left="444"/>
        <w:jc w:val="both"/>
        <w:rPr>
          <w:rFonts w:ascii="Arial" w:hAnsi="Arial"/>
          <w:b/>
          <w:bCs/>
        </w:rPr>
      </w:pPr>
      <w:r>
        <w:rPr>
          <w:rFonts w:ascii="Arial" w:hAnsi="Arial" w:hint="cs"/>
          <w:rtl/>
        </w:rPr>
        <w:t xml:space="preserve">כאמור מדובר בערכאת </w:t>
      </w:r>
      <w:r w:rsidRPr="005906B3">
        <w:rPr>
          <w:rFonts w:ascii="Arial" w:hAnsi="Arial" w:hint="cs"/>
          <w:u w:val="single"/>
          <w:rtl/>
        </w:rPr>
        <w:t>ערעור</w:t>
      </w:r>
      <w:r>
        <w:rPr>
          <w:rFonts w:ascii="Arial" w:hAnsi="Arial" w:hint="cs"/>
          <w:rtl/>
        </w:rPr>
        <w:t xml:space="preserve"> ולא בערכאה </w:t>
      </w:r>
      <w:r w:rsidR="007D5192">
        <w:rPr>
          <w:rFonts w:ascii="Arial" w:hAnsi="Arial" w:hint="cs"/>
          <w:rtl/>
        </w:rPr>
        <w:t xml:space="preserve">דיונית הנדרשת לבחינת </w:t>
      </w:r>
      <w:r>
        <w:rPr>
          <w:rFonts w:ascii="Arial" w:hAnsi="Arial" w:hint="cs"/>
          <w:rtl/>
        </w:rPr>
        <w:t>טענות עובדתיות.</w:t>
      </w:r>
      <w:r w:rsidR="007D5192">
        <w:rPr>
          <w:rFonts w:ascii="Arial" w:hAnsi="Arial" w:hint="cs"/>
          <w:rtl/>
        </w:rPr>
        <w:t xml:space="preserve"> בפני ערכאת ערעור לא מעלים טענות עובדתיות שלא בא זיכרן בפני בימ"ש קמא. </w:t>
      </w:r>
      <w:r w:rsidR="007D5192" w:rsidRPr="007D5192">
        <w:rPr>
          <w:rFonts w:ascii="Arial" w:hAnsi="Arial" w:hint="cs"/>
          <w:b/>
          <w:bCs/>
          <w:rtl/>
        </w:rPr>
        <w:t>העובדה ש</w:t>
      </w:r>
      <w:r w:rsidR="006F30F7">
        <w:rPr>
          <w:rFonts w:ascii="Arial" w:hAnsi="Arial" w:hint="cs"/>
          <w:b/>
          <w:bCs/>
          <w:rtl/>
        </w:rPr>
        <w:t xml:space="preserve">בעל דין בוחר לייצג את עצמו, </w:t>
      </w:r>
      <w:r w:rsidR="007D5192" w:rsidRPr="007D5192">
        <w:rPr>
          <w:rFonts w:ascii="Arial" w:hAnsi="Arial" w:hint="cs"/>
          <w:b/>
          <w:bCs/>
          <w:rtl/>
        </w:rPr>
        <w:t>איננה מקנה ל</w:t>
      </w:r>
      <w:r w:rsidR="006F30F7">
        <w:rPr>
          <w:rFonts w:ascii="Arial" w:hAnsi="Arial" w:hint="cs"/>
          <w:b/>
          <w:bCs/>
          <w:rtl/>
        </w:rPr>
        <w:t>ו</w:t>
      </w:r>
      <w:r w:rsidR="007D5192" w:rsidRPr="007D5192">
        <w:rPr>
          <w:rFonts w:ascii="Arial" w:hAnsi="Arial" w:hint="cs"/>
          <w:b/>
          <w:bCs/>
          <w:rtl/>
        </w:rPr>
        <w:t xml:space="preserve"> </w:t>
      </w:r>
      <w:r w:rsidR="006F30F7">
        <w:rPr>
          <w:rFonts w:ascii="Arial" w:hAnsi="Arial" w:hint="cs"/>
          <w:b/>
          <w:bCs/>
          <w:rtl/>
        </w:rPr>
        <w:t xml:space="preserve">"הנחות" </w:t>
      </w:r>
      <w:r w:rsidR="007D5192" w:rsidRPr="007D5192">
        <w:rPr>
          <w:rFonts w:ascii="Arial" w:hAnsi="Arial" w:hint="cs"/>
          <w:b/>
          <w:bCs/>
          <w:rtl/>
        </w:rPr>
        <w:t xml:space="preserve">להגיש כתבי טענות, בפרט ערעורים, שאינם עולים בקנה אחד עם דרישות הדין המהותי </w:t>
      </w:r>
      <w:r w:rsidR="007D5192">
        <w:rPr>
          <w:rFonts w:ascii="Arial" w:hAnsi="Arial" w:hint="cs"/>
          <w:b/>
          <w:bCs/>
          <w:rtl/>
        </w:rPr>
        <w:t>ו</w:t>
      </w:r>
      <w:r w:rsidR="007D5192" w:rsidRPr="007D5192">
        <w:rPr>
          <w:rFonts w:ascii="Arial" w:hAnsi="Arial" w:hint="cs"/>
          <w:b/>
          <w:bCs/>
          <w:rtl/>
        </w:rPr>
        <w:t xml:space="preserve">להטריד את ערכאת הערעור בנתונים ועובדות שכלל לא עלו בבקשה לפני בימ"ש קמא. </w:t>
      </w:r>
    </w:p>
    <w:p w:rsidR="005906B3" w:rsidRDefault="007D5192" w:rsidP="007D5192">
      <w:pPr>
        <w:pStyle w:val="ad"/>
        <w:spacing w:line="360" w:lineRule="auto"/>
        <w:ind w:left="444"/>
        <w:jc w:val="both"/>
        <w:rPr>
          <w:rFonts w:ascii="Arial" w:hAnsi="Arial"/>
        </w:rPr>
      </w:pPr>
      <w:r>
        <w:rPr>
          <w:rFonts w:ascii="Arial" w:hAnsi="Arial" w:hint="cs"/>
          <w:rtl/>
        </w:rPr>
        <w:t xml:space="preserve">  </w:t>
      </w:r>
      <w:r w:rsidR="005906B3">
        <w:rPr>
          <w:rFonts w:ascii="Arial" w:hAnsi="Arial" w:hint="cs"/>
          <w:rtl/>
        </w:rPr>
        <w:t xml:space="preserve"> </w:t>
      </w:r>
    </w:p>
    <w:p w:rsidR="006F30F7" w:rsidRPr="008634BA" w:rsidRDefault="005906B3" w:rsidP="008634BA">
      <w:pPr>
        <w:pStyle w:val="ad"/>
        <w:numPr>
          <w:ilvl w:val="0"/>
          <w:numId w:val="1"/>
        </w:numPr>
        <w:spacing w:line="360" w:lineRule="auto"/>
        <w:jc w:val="both"/>
        <w:rPr>
          <w:rFonts w:ascii="Arial" w:hAnsi="Arial"/>
        </w:rPr>
      </w:pPr>
      <w:r>
        <w:rPr>
          <w:rFonts w:ascii="Arial" w:hAnsi="Arial" w:hint="cs"/>
          <w:rtl/>
        </w:rPr>
        <w:t>למותר לציין</w:t>
      </w:r>
      <w:r w:rsidR="007D5192">
        <w:rPr>
          <w:rFonts w:ascii="Arial" w:hAnsi="Arial" w:hint="cs"/>
          <w:rtl/>
        </w:rPr>
        <w:t xml:space="preserve"> ש</w:t>
      </w:r>
      <w:r>
        <w:rPr>
          <w:rFonts w:ascii="Arial" w:hAnsi="Arial" w:hint="cs"/>
          <w:rtl/>
        </w:rPr>
        <w:t xml:space="preserve">החלטתו של בימ"ש קמא בדבר דחיית בקשת המבקשת, </w:t>
      </w:r>
      <w:r w:rsidRPr="005906B3">
        <w:rPr>
          <w:rFonts w:ascii="Arial" w:hAnsi="Arial" w:hint="cs"/>
          <w:u w:val="single"/>
          <w:rtl/>
        </w:rPr>
        <w:t>נכונה ותואמת את הדין</w:t>
      </w:r>
      <w:r>
        <w:rPr>
          <w:rFonts w:ascii="Arial" w:hAnsi="Arial" w:hint="cs"/>
          <w:rtl/>
        </w:rPr>
        <w:t>.</w:t>
      </w:r>
    </w:p>
    <w:p w:rsidR="00CC2AE6" w:rsidRPr="00CC2AE6" w:rsidRDefault="00CC2AE6" w:rsidP="00CC2AE6">
      <w:pPr>
        <w:pStyle w:val="ad"/>
        <w:rPr>
          <w:rFonts w:ascii="Arial" w:hAnsi="Arial"/>
          <w:rtl/>
        </w:rPr>
      </w:pPr>
    </w:p>
    <w:p w:rsidR="00CC2AE6" w:rsidRDefault="00CC2AE6" w:rsidP="007D5192">
      <w:pPr>
        <w:pStyle w:val="ad"/>
        <w:numPr>
          <w:ilvl w:val="0"/>
          <w:numId w:val="1"/>
        </w:numPr>
        <w:spacing w:line="360" w:lineRule="auto"/>
        <w:jc w:val="both"/>
        <w:rPr>
          <w:rFonts w:ascii="Arial" w:hAnsi="Arial"/>
        </w:rPr>
      </w:pPr>
      <w:r>
        <w:rPr>
          <w:rFonts w:ascii="Arial" w:hAnsi="Arial" w:hint="cs"/>
          <w:rtl/>
        </w:rPr>
        <w:t xml:space="preserve">מדובר איפוא </w:t>
      </w:r>
      <w:r w:rsidRPr="007D5192">
        <w:rPr>
          <w:rFonts w:ascii="Arial" w:hAnsi="Arial" w:hint="cs"/>
          <w:u w:val="single"/>
          <w:rtl/>
        </w:rPr>
        <w:t>בערעור סרק</w:t>
      </w:r>
      <w:r w:rsidR="00CB0DC2" w:rsidRPr="007D5192">
        <w:rPr>
          <w:rFonts w:ascii="Arial" w:hAnsi="Arial" w:hint="cs"/>
          <w:u w:val="single"/>
          <w:rtl/>
        </w:rPr>
        <w:t xml:space="preserve"> וטורדני</w:t>
      </w:r>
      <w:r w:rsidR="007D5192">
        <w:rPr>
          <w:rFonts w:ascii="Arial" w:hAnsi="Arial" w:hint="cs"/>
          <w:rtl/>
        </w:rPr>
        <w:t>, שאיננו מצביע על כל טעות בהחלטת בימ"ש קמא וכל כולו עוסק בטענות ועובדות שכלל לא נטענו בבקשה לפני בימ"ש קמא.</w:t>
      </w:r>
      <w:r>
        <w:rPr>
          <w:rFonts w:ascii="Arial" w:hAnsi="Arial" w:hint="cs"/>
          <w:rtl/>
        </w:rPr>
        <w:t xml:space="preserve"> </w:t>
      </w:r>
    </w:p>
    <w:p w:rsidR="00CC2AE6" w:rsidRDefault="00CC2AE6" w:rsidP="00CC2AE6">
      <w:pPr>
        <w:pStyle w:val="ad"/>
        <w:rPr>
          <w:rFonts w:ascii="Arial" w:hAnsi="Arial"/>
          <w:rtl/>
        </w:rPr>
      </w:pPr>
    </w:p>
    <w:p w:rsidR="008634BA" w:rsidRDefault="008634BA" w:rsidP="00CC2AE6">
      <w:pPr>
        <w:pStyle w:val="ad"/>
        <w:rPr>
          <w:rFonts w:ascii="Arial" w:hAnsi="Arial"/>
          <w:rtl/>
        </w:rPr>
      </w:pPr>
    </w:p>
    <w:p w:rsidR="008634BA" w:rsidRDefault="008634BA" w:rsidP="00CC2AE6">
      <w:pPr>
        <w:pStyle w:val="ad"/>
        <w:rPr>
          <w:rFonts w:ascii="Arial" w:hAnsi="Arial"/>
          <w:rtl/>
        </w:rPr>
      </w:pPr>
    </w:p>
    <w:p w:rsidR="008634BA" w:rsidRDefault="008634BA" w:rsidP="00CC2AE6">
      <w:pPr>
        <w:pStyle w:val="ad"/>
        <w:rPr>
          <w:rFonts w:ascii="Arial" w:hAnsi="Arial"/>
          <w:rtl/>
        </w:rPr>
      </w:pPr>
    </w:p>
    <w:p w:rsidR="008634BA" w:rsidRPr="00CC2AE6" w:rsidRDefault="008634BA" w:rsidP="00CC2AE6">
      <w:pPr>
        <w:pStyle w:val="ad"/>
        <w:rPr>
          <w:rFonts w:ascii="Arial" w:hAnsi="Arial"/>
          <w:rtl/>
        </w:rPr>
      </w:pPr>
    </w:p>
    <w:p w:rsidR="00AF73AD" w:rsidRDefault="00AF73AD" w:rsidP="000E79B1">
      <w:pPr>
        <w:spacing w:after="120" w:line="360" w:lineRule="auto"/>
        <w:jc w:val="both"/>
        <w:rPr>
          <w:rFonts w:ascii="David" w:hAnsi="David"/>
          <w:b/>
          <w:bCs/>
          <w:u w:val="single"/>
          <w:rtl/>
        </w:rPr>
      </w:pPr>
      <w:r>
        <w:rPr>
          <w:rFonts w:ascii="David" w:hAnsi="David"/>
          <w:b/>
          <w:bCs/>
          <w:u w:val="single"/>
          <w:rtl/>
        </w:rPr>
        <w:lastRenderedPageBreak/>
        <w:t>סוף דבר</w:t>
      </w:r>
    </w:p>
    <w:p w:rsidR="00AF73AD" w:rsidRDefault="00AF73AD" w:rsidP="000E79B1">
      <w:pPr>
        <w:spacing w:after="120" w:line="360" w:lineRule="auto"/>
        <w:jc w:val="both"/>
        <w:rPr>
          <w:rFonts w:ascii="David" w:hAnsi="David"/>
        </w:rPr>
      </w:pPr>
      <w:r>
        <w:rPr>
          <w:rFonts w:ascii="David" w:hAnsi="David"/>
          <w:b/>
          <w:bCs/>
          <w:rtl/>
        </w:rPr>
        <w:t>לאור כל האמור לעיל אני מורה על דחיית בקשת רשות הערעור.</w:t>
      </w:r>
    </w:p>
    <w:p w:rsidR="005906B3" w:rsidRDefault="00AF73AD" w:rsidP="000E79B1">
      <w:pPr>
        <w:spacing w:after="120" w:line="360" w:lineRule="auto"/>
        <w:jc w:val="both"/>
        <w:rPr>
          <w:rFonts w:ascii="David" w:hAnsi="David"/>
          <w:rtl/>
        </w:rPr>
      </w:pPr>
      <w:r>
        <w:rPr>
          <w:rFonts w:ascii="David" w:hAnsi="David"/>
          <w:rtl/>
        </w:rPr>
        <w:t xml:space="preserve">משלא נדרשה תשובה אין צו להוצאות </w:t>
      </w:r>
      <w:r w:rsidR="005906B3">
        <w:rPr>
          <w:rFonts w:ascii="David" w:hAnsi="David" w:hint="cs"/>
          <w:rtl/>
        </w:rPr>
        <w:t>למשיב.</w:t>
      </w:r>
    </w:p>
    <w:p w:rsidR="00694556" w:rsidRDefault="005906B3" w:rsidP="000E79B1">
      <w:pPr>
        <w:spacing w:after="120" w:line="360" w:lineRule="auto"/>
        <w:jc w:val="both"/>
        <w:rPr>
          <w:rFonts w:ascii="Arial" w:hAnsi="Arial"/>
          <w:noProof w:val="0"/>
          <w:rtl/>
        </w:rPr>
      </w:pPr>
      <w:r>
        <w:rPr>
          <w:rFonts w:ascii="David" w:hAnsi="David" w:hint="cs"/>
          <w:rtl/>
        </w:rPr>
        <w:t>ברם</w:t>
      </w:r>
      <w:r w:rsidR="006F30F7">
        <w:rPr>
          <w:rFonts w:ascii="David" w:hAnsi="David" w:hint="cs"/>
          <w:rtl/>
        </w:rPr>
        <w:t xml:space="preserve"> כפי שהדגשתי, זכותו של בעל-דין שלא להסתייע בייצוג משפטי ברם "הנחות"</w:t>
      </w:r>
      <w:r w:rsidR="000E79B1">
        <w:rPr>
          <w:rFonts w:ascii="David" w:hAnsi="David" w:hint="cs"/>
          <w:rtl/>
        </w:rPr>
        <w:t xml:space="preserve"> בגין כך</w:t>
      </w:r>
      <w:r w:rsidR="006F30F7">
        <w:rPr>
          <w:rFonts w:ascii="David" w:hAnsi="David" w:hint="cs"/>
          <w:rtl/>
        </w:rPr>
        <w:t xml:space="preserve"> לא יינתנו לו. </w:t>
      </w:r>
      <w:r w:rsidR="000E79B1">
        <w:rPr>
          <w:rFonts w:ascii="David" w:hAnsi="David" w:hint="cs"/>
          <w:rtl/>
        </w:rPr>
        <w:t xml:space="preserve">על כן ובהיות </w:t>
      </w:r>
      <w:r>
        <w:rPr>
          <w:rFonts w:ascii="Arial" w:hAnsi="Arial" w:hint="cs"/>
          <w:rtl/>
        </w:rPr>
        <w:t xml:space="preserve">הערעור </w:t>
      </w:r>
      <w:r w:rsidRPr="006F30F7">
        <w:rPr>
          <w:rFonts w:ascii="Arial" w:hAnsi="Arial" w:hint="cs"/>
          <w:b/>
          <w:bCs/>
          <w:rtl/>
        </w:rPr>
        <w:t>סרק וטורדני</w:t>
      </w:r>
      <w:r>
        <w:rPr>
          <w:rFonts w:ascii="Arial" w:hAnsi="Arial" w:hint="cs"/>
          <w:rtl/>
        </w:rPr>
        <w:t>, אני מחייב את המבקשת</w:t>
      </w:r>
      <w:r w:rsidR="000E79B1">
        <w:rPr>
          <w:rFonts w:ascii="Arial" w:hAnsi="Arial" w:hint="cs"/>
          <w:rtl/>
        </w:rPr>
        <w:t xml:space="preserve"> </w:t>
      </w:r>
      <w:r w:rsidR="000E79B1">
        <w:rPr>
          <w:rFonts w:ascii="Arial" w:hAnsi="Arial" w:hint="cs"/>
          <w:u w:val="single"/>
          <w:rtl/>
        </w:rPr>
        <w:t>בהוצאות ל</w:t>
      </w:r>
      <w:r w:rsidRPr="00525D95">
        <w:rPr>
          <w:rFonts w:ascii="Arial" w:hAnsi="Arial" w:hint="cs"/>
          <w:u w:val="single"/>
          <w:rtl/>
        </w:rPr>
        <w:t>טובת אוצר המדינה</w:t>
      </w:r>
      <w:r>
        <w:rPr>
          <w:rFonts w:ascii="Arial" w:hAnsi="Arial" w:hint="cs"/>
          <w:rtl/>
        </w:rPr>
        <w:t xml:space="preserve"> בסך 1,000 ₪, אשר יקוזזו מהפיקדון שהפקידה המבקשת והיתרה תוחזר למבקשת.</w:t>
      </w:r>
    </w:p>
    <w:p w:rsidR="004F3D59" w:rsidRDefault="004F3D59" w:rsidP="005906B3">
      <w:pPr>
        <w:spacing w:after="120" w:line="360" w:lineRule="auto"/>
        <w:rPr>
          <w:rFonts w:ascii="Arial" w:hAnsi="Arial"/>
          <w:noProof w:val="0"/>
          <w:rtl/>
        </w:rPr>
      </w:pPr>
    </w:p>
    <w:p w:rsidR="004F3D59" w:rsidRPr="004F3D59" w:rsidRDefault="004F3D59" w:rsidP="005906B3">
      <w:pPr>
        <w:spacing w:after="120" w:line="360" w:lineRule="auto"/>
        <w:rPr>
          <w:rFonts w:ascii="Arial" w:hAnsi="Arial"/>
          <w:noProof w:val="0"/>
          <w:u w:val="single"/>
          <w:rtl/>
        </w:rPr>
      </w:pPr>
      <w:r w:rsidRPr="004F3D59">
        <w:rPr>
          <w:rFonts w:ascii="Arial" w:hAnsi="Arial" w:hint="cs"/>
          <w:noProof w:val="0"/>
          <w:u w:val="single"/>
          <w:rtl/>
        </w:rPr>
        <w:t>פסה"ד מותר לפרסום בהשמטת פרטים מזהים</w:t>
      </w: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כ"ג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12 יולי 2023</w:t>
          </w:r>
        </w:sdtContent>
      </w:sdt>
      <w:r w:rsidR="00005C8B">
        <w:rPr>
          <w:rFonts w:ascii="Arial" w:hAnsi="Arial"/>
          <w:noProof w:val="0"/>
          <w:rtl/>
        </w:rPr>
        <w:t>, בהעדר הצדדים.</w:t>
      </w:r>
    </w:p>
    <w:p w:rsidR="00C43648" w:rsidRDefault="00DD0F52"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497027048"/>
        </w:sdtPr>
        <w:sdtEndPr/>
        <w:sdtContent>
          <w:r w:rsidR="008634BA">
            <w:drawing>
              <wp:inline distT="0" distB="0" distL="0" distR="0" wp14:editId="50D07946">
                <wp:extent cx="1085850" cy="120967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085850" cy="12096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940277">
      <w:headerReference w:type="even" r:id="rId12"/>
      <w:headerReference w:type="default" r:id="rId13"/>
      <w:footerReference w:type="even" r:id="rId14"/>
      <w:footerReference w:type="default" r:id="rId15"/>
      <w:headerReference w:type="first" r:id="rId16"/>
      <w:footerReference w:type="first" r:id="rId17"/>
      <w:pgSz w:w="11907" w:h="16840" w:code="9"/>
      <w:pgMar w:top="1440" w:right="1800" w:bottom="993"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0F52" w:rsidRDefault="00DD0F52">
      <w:r>
        <w:separator/>
      </w:r>
    </w:p>
  </w:endnote>
  <w:endnote w:type="continuationSeparator" w:id="0">
    <w:p w:rsidR="00DD0F52" w:rsidRDefault="00DD0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Aharoni">
    <w:panose1 w:val="02010803020104030203"/>
    <w:charset w:val="00"/>
    <w:family w:val="auto"/>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CF9" w:rsidRDefault="00E42CF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40CE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40CE2">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CF9" w:rsidRDefault="00E42CF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0F52" w:rsidRDefault="00DD0F52">
      <w:r>
        <w:separator/>
      </w:r>
    </w:p>
  </w:footnote>
  <w:footnote w:type="continuationSeparator" w:id="0">
    <w:p w:rsidR="00DD0F52" w:rsidRDefault="00DD0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CF9" w:rsidRDefault="00E42CF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9"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DD0F52" w:rsidP="008634BA">
          <w:pPr>
            <w:rPr>
              <w:sz w:val="20"/>
              <w:szCs w:val="20"/>
              <w:rtl/>
            </w:rPr>
          </w:pPr>
          <w:sdt>
            <w:sdtPr>
              <w:rPr>
                <w:rtl/>
              </w:rPr>
              <w:alias w:val="1170"/>
              <w:tag w:val="1170"/>
              <w:id w:val="1066377040"/>
              <w:text w:multiLine="1"/>
            </w:sdtPr>
            <w:sdtEndPr/>
            <w:sdtContent>
              <w:r w:rsidR="00B859C5">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21987-07-23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8634BA">
                <w:rPr>
                  <w:b/>
                  <w:bCs/>
                  <w:noProof w:val="0"/>
                  <w:sz w:val="26"/>
                  <w:szCs w:val="26"/>
                  <w:rtl/>
                </w:rPr>
                <w:t>ג</w:t>
              </w:r>
              <w:r w:rsidR="008634BA">
                <w:rPr>
                  <w:rFonts w:hint="cs"/>
                  <w:b/>
                  <w:bCs/>
                  <w:noProof w:val="0"/>
                  <w:sz w:val="26"/>
                  <w:szCs w:val="26"/>
                  <w:rtl/>
                </w:rPr>
                <w:t>.</w:t>
              </w:r>
              <w:r w:rsidR="00B859C5">
                <w:rPr>
                  <w:b/>
                  <w:bCs/>
                  <w:noProof w:val="0"/>
                  <w:sz w:val="26"/>
                  <w:szCs w:val="26"/>
                  <w:rtl/>
                </w:rPr>
                <w:t xml:space="preserve"> נ' </w:t>
              </w:r>
              <w:r w:rsidR="008634BA">
                <w:rPr>
                  <w:rFonts w:hint="cs"/>
                  <w:b/>
                  <w:bCs/>
                  <w:noProof w:val="0"/>
                  <w:sz w:val="26"/>
                  <w:szCs w:val="26"/>
                  <w:rtl/>
                </w:rPr>
                <w:t>ז.</w:t>
              </w:r>
            </w:sdtContent>
          </w:sdt>
          <w:r w:rsidR="007C2453">
            <w:rPr>
              <w:b/>
              <w:bCs/>
              <w:noProof w:val="0"/>
              <w:sz w:val="26"/>
              <w:szCs w:val="26"/>
              <w:rtl/>
            </w:rPr>
            <w:t xml:space="preserve"> </w:t>
          </w:r>
          <w:r w:rsidR="007D45E3">
            <w:rPr>
              <w:rFonts w:hint="cs"/>
              <w:rtl/>
            </w:rPr>
            <w:t xml:space="preserve">                       </w:t>
          </w:r>
          <w:r w:rsidR="007D45E3">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CF9" w:rsidRDefault="00E42CF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3A511D"/>
    <w:multiLevelType w:val="hybridMultilevel"/>
    <w:tmpl w:val="F6885084"/>
    <w:lvl w:ilvl="0" w:tplc="6302B9B2">
      <w:start w:val="1"/>
      <w:numFmt w:val="decimal"/>
      <w:lvlText w:val="%1."/>
      <w:lvlJc w:val="left"/>
      <w:pPr>
        <w:ind w:left="444" w:hanging="360"/>
      </w:pPr>
      <w:rPr>
        <w:rFonts w:hint="default"/>
        <w:b w:val="0"/>
        <w:bCs w:val="0"/>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81715"/>
    <w:rsid w:val="00082AB2"/>
    <w:rsid w:val="000906FE"/>
    <w:rsid w:val="00096AF7"/>
    <w:rsid w:val="000B344B"/>
    <w:rsid w:val="000C3B0F"/>
    <w:rsid w:val="000C3B60"/>
    <w:rsid w:val="000E0DD2"/>
    <w:rsid w:val="000E3AF1"/>
    <w:rsid w:val="000E79B1"/>
    <w:rsid w:val="000F0BC8"/>
    <w:rsid w:val="000F0DD6"/>
    <w:rsid w:val="00107E6D"/>
    <w:rsid w:val="00110A53"/>
    <w:rsid w:val="0011194C"/>
    <w:rsid w:val="0011424C"/>
    <w:rsid w:val="001173C6"/>
    <w:rsid w:val="00122A9F"/>
    <w:rsid w:val="001367BC"/>
    <w:rsid w:val="00144D2A"/>
    <w:rsid w:val="0014653E"/>
    <w:rsid w:val="00180519"/>
    <w:rsid w:val="00185AF5"/>
    <w:rsid w:val="00191C82"/>
    <w:rsid w:val="001B15F0"/>
    <w:rsid w:val="001C4003"/>
    <w:rsid w:val="001D4DBF"/>
    <w:rsid w:val="001E75CA"/>
    <w:rsid w:val="002265FF"/>
    <w:rsid w:val="00240CE2"/>
    <w:rsid w:val="00271B56"/>
    <w:rsid w:val="00272E32"/>
    <w:rsid w:val="002C344E"/>
    <w:rsid w:val="002E75E9"/>
    <w:rsid w:val="002F0B1E"/>
    <w:rsid w:val="002F227B"/>
    <w:rsid w:val="00307A6A"/>
    <w:rsid w:val="00307C40"/>
    <w:rsid w:val="00320433"/>
    <w:rsid w:val="003230C7"/>
    <w:rsid w:val="003239FC"/>
    <w:rsid w:val="00327E50"/>
    <w:rsid w:val="0033597A"/>
    <w:rsid w:val="00343D89"/>
    <w:rsid w:val="00362612"/>
    <w:rsid w:val="0036743F"/>
    <w:rsid w:val="003715DD"/>
    <w:rsid w:val="003823E0"/>
    <w:rsid w:val="003A4521"/>
    <w:rsid w:val="003D1C8C"/>
    <w:rsid w:val="003E38C7"/>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4F3D59"/>
    <w:rsid w:val="005108D9"/>
    <w:rsid w:val="00520898"/>
    <w:rsid w:val="00523621"/>
    <w:rsid w:val="00524986"/>
    <w:rsid w:val="00525D95"/>
    <w:rsid w:val="005268F6"/>
    <w:rsid w:val="00534284"/>
    <w:rsid w:val="00547DB7"/>
    <w:rsid w:val="00557717"/>
    <w:rsid w:val="00576A86"/>
    <w:rsid w:val="0058587D"/>
    <w:rsid w:val="005906B3"/>
    <w:rsid w:val="005F4F09"/>
    <w:rsid w:val="00603F73"/>
    <w:rsid w:val="0061431B"/>
    <w:rsid w:val="00622BAA"/>
    <w:rsid w:val="006306CF"/>
    <w:rsid w:val="00644E9A"/>
    <w:rsid w:val="00671BD5"/>
    <w:rsid w:val="006805C1"/>
    <w:rsid w:val="00686C21"/>
    <w:rsid w:val="006931C1"/>
    <w:rsid w:val="00694556"/>
    <w:rsid w:val="006B6DD7"/>
    <w:rsid w:val="006C30C5"/>
    <w:rsid w:val="006D3B31"/>
    <w:rsid w:val="006E0D96"/>
    <w:rsid w:val="006E1A53"/>
    <w:rsid w:val="006F30F7"/>
    <w:rsid w:val="006F56E6"/>
    <w:rsid w:val="00704EDA"/>
    <w:rsid w:val="00721122"/>
    <w:rsid w:val="00734689"/>
    <w:rsid w:val="007351F7"/>
    <w:rsid w:val="00753019"/>
    <w:rsid w:val="00754801"/>
    <w:rsid w:val="00761441"/>
    <w:rsid w:val="00783272"/>
    <w:rsid w:val="00795365"/>
    <w:rsid w:val="007A351D"/>
    <w:rsid w:val="007B4831"/>
    <w:rsid w:val="007B6056"/>
    <w:rsid w:val="007B7765"/>
    <w:rsid w:val="007C2453"/>
    <w:rsid w:val="007C5BDD"/>
    <w:rsid w:val="007D45E3"/>
    <w:rsid w:val="007D5192"/>
    <w:rsid w:val="007E6115"/>
    <w:rsid w:val="007F4609"/>
    <w:rsid w:val="00805EFF"/>
    <w:rsid w:val="00814468"/>
    <w:rsid w:val="008151E2"/>
    <w:rsid w:val="008176A1"/>
    <w:rsid w:val="00820005"/>
    <w:rsid w:val="008414B8"/>
    <w:rsid w:val="00844318"/>
    <w:rsid w:val="00860102"/>
    <w:rsid w:val="008634BA"/>
    <w:rsid w:val="00863F5D"/>
    <w:rsid w:val="00870890"/>
    <w:rsid w:val="00873602"/>
    <w:rsid w:val="00875D12"/>
    <w:rsid w:val="00876170"/>
    <w:rsid w:val="0088479D"/>
    <w:rsid w:val="00891F42"/>
    <w:rsid w:val="00896889"/>
    <w:rsid w:val="008A6E97"/>
    <w:rsid w:val="008C5714"/>
    <w:rsid w:val="008D10B2"/>
    <w:rsid w:val="00903896"/>
    <w:rsid w:val="00906F3D"/>
    <w:rsid w:val="00940277"/>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501E9"/>
    <w:rsid w:val="00A85E34"/>
    <w:rsid w:val="00A869F0"/>
    <w:rsid w:val="00A9144F"/>
    <w:rsid w:val="00A94B64"/>
    <w:rsid w:val="00AA3229"/>
    <w:rsid w:val="00AA7596"/>
    <w:rsid w:val="00AB3AE3"/>
    <w:rsid w:val="00AB5E52"/>
    <w:rsid w:val="00AC3B02"/>
    <w:rsid w:val="00AC3B7B"/>
    <w:rsid w:val="00AC5209"/>
    <w:rsid w:val="00AC79B3"/>
    <w:rsid w:val="00AD7521"/>
    <w:rsid w:val="00AE0641"/>
    <w:rsid w:val="00AE0E34"/>
    <w:rsid w:val="00AE729E"/>
    <w:rsid w:val="00AE7752"/>
    <w:rsid w:val="00AF73AD"/>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0D62"/>
    <w:rsid w:val="00C642FA"/>
    <w:rsid w:val="00C770E3"/>
    <w:rsid w:val="00CB0DC2"/>
    <w:rsid w:val="00CC2AE6"/>
    <w:rsid w:val="00CC7622"/>
    <w:rsid w:val="00CD608F"/>
    <w:rsid w:val="00CF6BB7"/>
    <w:rsid w:val="00D04AA4"/>
    <w:rsid w:val="00D27982"/>
    <w:rsid w:val="00D33B86"/>
    <w:rsid w:val="00D44968"/>
    <w:rsid w:val="00D53924"/>
    <w:rsid w:val="00D55D0C"/>
    <w:rsid w:val="00D96D8C"/>
    <w:rsid w:val="00DA6649"/>
    <w:rsid w:val="00DB205E"/>
    <w:rsid w:val="00DC1259"/>
    <w:rsid w:val="00DC1BD2"/>
    <w:rsid w:val="00DC2571"/>
    <w:rsid w:val="00DC487C"/>
    <w:rsid w:val="00DD05A8"/>
    <w:rsid w:val="00DD0F52"/>
    <w:rsid w:val="00DD4335"/>
    <w:rsid w:val="00DE1E7D"/>
    <w:rsid w:val="00DE6BF6"/>
    <w:rsid w:val="00E00709"/>
    <w:rsid w:val="00E1068A"/>
    <w:rsid w:val="00E12EC5"/>
    <w:rsid w:val="00E25884"/>
    <w:rsid w:val="00E25B55"/>
    <w:rsid w:val="00E31C2B"/>
    <w:rsid w:val="00E42CF9"/>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uiPriority w:val="99"/>
    <w:semiHidden/>
    <w:unhideWhenUsed/>
    <w:rsid w:val="00AF73AD"/>
    <w:rPr>
      <w:color w:val="0000FF"/>
      <w:u w:val="single"/>
    </w:rPr>
  </w:style>
  <w:style w:type="paragraph" w:styleId="ad">
    <w:name w:val="List Paragraph"/>
    <w:basedOn w:val="a"/>
    <w:uiPriority w:val="34"/>
    <w:qFormat/>
    <w:rsid w:val="00A869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8271895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196390"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jp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047E67" w:rsidP="00047E67">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06913A6F5EC14B6D9A15F2CCC3ED9BDD"/>
        <w:category>
          <w:name w:val="כללי"/>
          <w:gallery w:val="placeholder"/>
        </w:category>
        <w:types>
          <w:type w:val="bbPlcHdr"/>
        </w:types>
        <w:behaviors>
          <w:behavior w:val="content"/>
        </w:behaviors>
        <w:guid w:val="{08485694-D7A4-483E-8439-9424901FC87B}"/>
      </w:docPartPr>
      <w:docPartBody>
        <w:p w:rsidR="008F0FBA" w:rsidRDefault="003F0A20" w:rsidP="003F0A20">
          <w:pPr>
            <w:pStyle w:val="06913A6F5EC14B6D9A15F2CCC3ED9BDD"/>
          </w:pPr>
          <w:r>
            <w:rPr>
              <w:rFonts w:ascii="Arial" w:hAnsi="Arial"/>
              <w:b/>
              <w:bCs/>
              <w:sz w:val="26"/>
              <w:szCs w:val="26"/>
              <w:rtl/>
            </w:rPr>
            <w:t>שם צד א' ללא שם של חסוי</w:t>
          </w:r>
        </w:p>
      </w:docPartBody>
    </w:docPart>
    <w:docPart>
      <w:docPartPr>
        <w:name w:val="FE8762CAB3A64F52B20087981CB1EAC7"/>
        <w:category>
          <w:name w:val="כללי"/>
          <w:gallery w:val="placeholder"/>
        </w:category>
        <w:types>
          <w:type w:val="bbPlcHdr"/>
        </w:types>
        <w:behaviors>
          <w:behavior w:val="content"/>
        </w:behaviors>
        <w:guid w:val="{FABF8E26-B40A-4DCA-993C-3383DF022FFE}"/>
      </w:docPartPr>
      <w:docPartBody>
        <w:p w:rsidR="008F0FBA" w:rsidRDefault="003F0A20" w:rsidP="003F0A20">
          <w:pPr>
            <w:pStyle w:val="FE8762CAB3A64F52B20087981CB1EAC7"/>
          </w:pPr>
          <w:r>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Aharoni">
    <w:panose1 w:val="02010803020104030203"/>
    <w:charset w:val="00"/>
    <w:family w:val="auto"/>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47E67"/>
    <w:rsid w:val="000A4ACE"/>
    <w:rsid w:val="002D02C4"/>
    <w:rsid w:val="00345C9D"/>
    <w:rsid w:val="003F0A20"/>
    <w:rsid w:val="004012F8"/>
    <w:rsid w:val="0048651F"/>
    <w:rsid w:val="005157ED"/>
    <w:rsid w:val="005171E8"/>
    <w:rsid w:val="00556D67"/>
    <w:rsid w:val="00793995"/>
    <w:rsid w:val="007C6F98"/>
    <w:rsid w:val="007E254A"/>
    <w:rsid w:val="00817811"/>
    <w:rsid w:val="008B4366"/>
    <w:rsid w:val="008F0FBA"/>
    <w:rsid w:val="0090606C"/>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47E67"/>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047E67"/>
    <w:pPr>
      <w:bidi/>
      <w:spacing w:after="0" w:line="240" w:lineRule="auto"/>
    </w:pPr>
    <w:rPr>
      <w:rFonts w:ascii="Times New Roman" w:eastAsia="Times New Roman" w:hAnsi="Times New Roman" w:cs="David"/>
      <w:noProof/>
      <w:sz w:val="24"/>
      <w:szCs w:val="24"/>
    </w:rPr>
  </w:style>
  <w:style w:type="paragraph" w:customStyle="1" w:styleId="06913A6F5EC14B6D9A15F2CCC3ED9BDD">
    <w:name w:val="06913A6F5EC14B6D9A15F2CCC3ED9BDD"/>
    <w:rsid w:val="003F0A20"/>
    <w:pPr>
      <w:bidi/>
      <w:spacing w:after="160" w:line="259" w:lineRule="auto"/>
    </w:pPr>
  </w:style>
  <w:style w:type="paragraph" w:customStyle="1" w:styleId="FE8762CAB3A64F52B20087981CB1EAC7">
    <w:name w:val="FE8762CAB3A64F52B20087981CB1EAC7"/>
    <w:rsid w:val="003F0A20"/>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831</Words>
  <Characters>4159</Characters>
  <Application>Microsoft Office Word</Application>
  <DocSecurity>0</DocSecurity>
  <Lines>34</Lines>
  <Paragraphs>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2023-07-16T12:33:00Z</dcterms:created>
  <dcterms:modified xsi:type="dcterms:W3CDTF">2023-07-16T12:33:00Z</dcterms:modified>
</cp:coreProperties>
</file>